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HMO LICENCE APPLICATION CHECKLIST</w:t>
      </w:r>
    </w:p>
    <w:p>
      <w:pPr>
        <w:spacing w:after="200"/>
        <w:jc w:val="center"/>
      </w:pPr>
      <w:r>
        <w:rPr>
          <w:color w:val="6B7280"/>
          <w:sz w:val="22"/>
          <w:szCs w:val="22"/>
          <w:rFonts w:ascii="Calibri" w:cs="Calibri" w:eastAsia="Calibri" w:hAnsi="Calibri"/>
        </w:rPr>
        <w:t xml:space="preserve">Housing Act 2004, Parts 2 &amp; 3 — England</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Property Details</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Local Authority: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Storeys: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Lettable Rooms: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Max Occupants: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Households: </w:t>
      </w:r>
      <w:r>
        <w:rPr>
          <w:u w:val="single" w:color="E5E7EB"/>
          <w:color w:val="9CA3AF"/>
          <w:sz w:val="21"/>
          <w:szCs w:val="21"/>
          <w:rFonts w:ascii="Calibri" w:cs="Calibri" w:eastAsia="Calibri" w:hAnsi="Calibri"/>
        </w:rPr>
        <w:t xml:space="preserve">[___]</w:t>
      </w:r>
    </w:p>
    <w:p>
      <w:pPr>
        <w:pStyle w:val="Heading2"/>
        <w:pBdr>
          <w:bottom w:val="single" w:color="E97316" w:sz="1"/>
        </w:pBdr>
        <w:spacing w:before="300" w:after="120"/>
      </w:pPr>
      <w:r>
        <w:t xml:space="preserve">2. Licence Type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Mandatory (5+ occupants, 2+ households, Housing Act 2004 Part 2)</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Additional (smaller HMOs designated by local authority)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Selective (all PRS in designated area)</w:t>
      </w:r>
    </w:p>
    <w:p>
      <w:pPr>
        <w:pStyle w:val="Heading2"/>
        <w:pBdr>
          <w:bottom w:val="single" w:color="E97316" w:sz="1"/>
        </w:pBdr>
        <w:spacing w:before="300" w:after="120"/>
      </w:pPr>
      <w:r>
        <w:t xml:space="preserve">3. Documents Checklist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Completed application form (council-specific)</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Fee payment (typically £500–£1,500)</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Floor plan with room dimensions, fire routes, detector positions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Gas Safety Certificate (CP12) — within 12 months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EICR — within 5 years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Fire Risk Assessment by competent person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EPC — minimum E rating</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Smoke alarms each storey (interlinked recommended)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CO alarm where solid fuel appliance present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Fire blanket in kitchen, extinguisher each floor</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Emergency lighting (if required by fire risk assessment)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FD30 fire doors to kitchen and bedrooms (intumescent strips + cold smoke seals)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Planning permission for HMO use (check Article 4 direction)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Building Regulations compliance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Proof of ownership</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Landlord ID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Management plan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Current tenancy agreements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PAT testing for landlord-supplied appliances</w:t>
      </w:r>
    </w:p>
    <w:p>
      <w:pPr>
        <w:pStyle w:val="Heading2"/>
        <w:pBdr>
          <w:bottom w:val="single" w:color="E97316" w:sz="1"/>
        </w:pBdr>
        <w:spacing w:before="300" w:after="120"/>
      </w:pPr>
      <w:r>
        <w:t xml:space="preserve">4. Room Size Compliance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Room Use</w:t>
            </w:r>
          </w:p>
        </w:tc>
        <w:tc>
          <w:tcPr>
            <w:tcW w:type="pct" w:w="33%"/>
            <w:shd w:fill="E97316" w:val="clear"/>
          </w:tcPr>
          <w:p>
            <w:pPr>
              <w:jc w:val="center"/>
            </w:pPr>
            <w:r>
              <w:rPr>
                <w:b/>
                <w:bCs/>
                <w:color w:val="FFFFFF"/>
                <w:sz w:val="19"/>
                <w:szCs w:val="19"/>
                <w:rFonts w:ascii="Calibri" w:cs="Calibri" w:eastAsia="Calibri" w:hAnsi="Calibri"/>
              </w:rPr>
              <w:t xml:space="preserve">Minimum Area</w:t>
            </w:r>
          </w:p>
        </w:tc>
        <w:tc>
          <w:tcPr>
            <w:tcW w:type="pct" w:w="33%"/>
            <w:shd w:fill="E97316" w:val="clear"/>
          </w:tcPr>
          <w:p>
            <w:pPr>
              <w:jc w:val="center"/>
            </w:pPr>
            <w:r>
              <w:rPr>
                <w:b/>
                <w:bCs/>
                <w:color w:val="FFFFFF"/>
                <w:sz w:val="19"/>
                <w:szCs w:val="19"/>
                <w:rFonts w:ascii="Calibri" w:cs="Calibri" w:eastAsia="Calibri" w:hAnsi="Calibri"/>
              </w:rPr>
              <w:t xml:space="preserve">Max Occupancy</w:t>
            </w:r>
          </w:p>
        </w:tc>
      </w:tr>
      <w:tr>
        <w:tc>
          <w:tcPr>
            <w:tcW w:type="pct" w:w="33%"/>
            <w:shd w:fill="F9FAFB" w:val="clear"/>
          </w:tcPr>
          <w:p>
            <w:r>
              <w:rPr>
                <w:color w:val="1F2937"/>
                <w:sz w:val="19"/>
                <w:szCs w:val="19"/>
                <w:rFonts w:ascii="Calibri" w:cs="Calibri" w:eastAsia="Calibri" w:hAnsi="Calibri"/>
              </w:rPr>
              <w:t xml:space="preserve">Single bedroom (1 person 10+)</w:t>
            </w:r>
          </w:p>
        </w:tc>
        <w:tc>
          <w:tcPr>
            <w:tcW w:type="pct" w:w="33%"/>
            <w:shd w:fill="F9FAFB" w:val="clear"/>
          </w:tcPr>
          <w:p>
            <w:r>
              <w:rPr>
                <w:color w:val="1F2937"/>
                <w:sz w:val="19"/>
                <w:szCs w:val="19"/>
                <w:rFonts w:ascii="Calibri" w:cs="Calibri" w:eastAsia="Calibri" w:hAnsi="Calibri"/>
              </w:rPr>
              <w:t xml:space="preserve">6.51 m²</w:t>
            </w:r>
          </w:p>
        </w:tc>
        <w:tc>
          <w:tcPr>
            <w:tcW w:type="pct" w:w="33%"/>
            <w:shd w:fill="F9FAFB" w:val="clear"/>
          </w:tcPr>
          <w:p>
            <w:r>
              <w:rPr>
                <w:color w:val="1F2937"/>
                <w:sz w:val="19"/>
                <w:szCs w:val="19"/>
                <w:rFonts w:ascii="Calibri" w:cs="Calibri" w:eastAsia="Calibri" w:hAnsi="Calibri"/>
              </w:rPr>
              <w:t xml:space="preserve">1</w:t>
            </w:r>
          </w:p>
        </w:tc>
      </w:tr>
      <w:tr>
        <w:tc>
          <w:tcPr>
            <w:tcW w:type="pct" w:w="33%"/>
          </w:tcPr>
          <w:p>
            <w:r>
              <w:rPr>
                <w:color w:val="1F2937"/>
                <w:sz w:val="19"/>
                <w:szCs w:val="19"/>
                <w:rFonts w:ascii="Calibri" w:cs="Calibri" w:eastAsia="Calibri" w:hAnsi="Calibri"/>
              </w:rPr>
              <w:t xml:space="preserve">Double bedroom (2 persons 10+)</w:t>
            </w:r>
          </w:p>
        </w:tc>
        <w:tc>
          <w:tcPr>
            <w:tcW w:type="pct" w:w="33%"/>
          </w:tcPr>
          <w:p>
            <w:r>
              <w:rPr>
                <w:color w:val="1F2937"/>
                <w:sz w:val="19"/>
                <w:szCs w:val="19"/>
                <w:rFonts w:ascii="Calibri" w:cs="Calibri" w:eastAsia="Calibri" w:hAnsi="Calibri"/>
              </w:rPr>
              <w:t xml:space="preserve">10.22 m²</w:t>
            </w:r>
          </w:p>
        </w:tc>
        <w:tc>
          <w:tcPr>
            <w:tcW w:type="pct" w:w="33%"/>
          </w:tcPr>
          <w:p>
            <w:r>
              <w:rPr>
                <w:color w:val="1F2937"/>
                <w:sz w:val="19"/>
                <w:szCs w:val="19"/>
                <w:rFonts w:ascii="Calibri" w:cs="Calibri" w:eastAsia="Calibri" w:hAnsi="Calibri"/>
              </w:rPr>
              <w:t xml:space="preserve">2</w:t>
            </w:r>
          </w:p>
        </w:tc>
      </w:tr>
      <w:tr>
        <w:tc>
          <w:tcPr>
            <w:tcW w:type="pct" w:w="33%"/>
            <w:shd w:fill="F9FAFB" w:val="clear"/>
          </w:tcPr>
          <w:p>
            <w:r>
              <w:rPr>
                <w:color w:val="1F2937"/>
                <w:sz w:val="19"/>
                <w:szCs w:val="19"/>
                <w:rFonts w:ascii="Calibri" w:cs="Calibri" w:eastAsia="Calibri" w:hAnsi="Calibri"/>
              </w:rPr>
              <w:t xml:space="preserve">Child under 10 sleeping room</w:t>
            </w:r>
          </w:p>
        </w:tc>
        <w:tc>
          <w:tcPr>
            <w:tcW w:type="pct" w:w="33%"/>
            <w:shd w:fill="F9FAFB" w:val="clear"/>
          </w:tcPr>
          <w:p>
            <w:r>
              <w:rPr>
                <w:color w:val="1F2937"/>
                <w:sz w:val="19"/>
                <w:szCs w:val="19"/>
                <w:rFonts w:ascii="Calibri" w:cs="Calibri" w:eastAsia="Calibri" w:hAnsi="Calibri"/>
              </w:rPr>
              <w:t xml:space="preserve">4.64 m²</w:t>
            </w:r>
          </w:p>
        </w:tc>
        <w:tc>
          <w:tcPr>
            <w:tcW w:type="pct" w:w="33%"/>
            <w:shd w:fill="F9FAFB" w:val="clear"/>
          </w:tcPr>
          <w:p>
            <w:r>
              <w:rPr>
                <w:color w:val="1F2937"/>
                <w:sz w:val="19"/>
                <w:szCs w:val="19"/>
                <w:rFonts w:ascii="Calibri" w:cs="Calibri" w:eastAsia="Calibri" w:hAnsi="Calibri"/>
              </w:rPr>
              <w:t xml:space="preserve">1</w:t>
            </w:r>
          </w:p>
        </w:tc>
      </w:tr>
      <w:tr>
        <w:tc>
          <w:tcPr>
            <w:tcW w:type="pct" w:w="33%"/>
          </w:tcPr>
          <w:p>
            <w:r>
              <w:rPr>
                <w:color w:val="1F2937"/>
                <w:sz w:val="19"/>
                <w:szCs w:val="19"/>
                <w:rFonts w:ascii="Calibri" w:cs="Calibri" w:eastAsia="Calibri" w:hAnsi="Calibri"/>
              </w:rPr>
              <w:t xml:space="preserve">Shared kitchen (1–5 persons)</w:t>
            </w:r>
          </w:p>
        </w:tc>
        <w:tc>
          <w:tcPr>
            <w:tcW w:type="pct" w:w="33%"/>
          </w:tcPr>
          <w:p>
            <w:r>
              <w:rPr>
                <w:color w:val="1F2937"/>
                <w:sz w:val="19"/>
                <w:szCs w:val="19"/>
                <w:rFonts w:ascii="Calibri" w:cs="Calibri" w:eastAsia="Calibri" w:hAnsi="Calibri"/>
              </w:rPr>
              <w:t xml:space="preserve">7 m² recommended</w:t>
            </w:r>
          </w:p>
        </w:tc>
        <w:tc>
          <w:tcPr>
            <w:tcW w:type="pct" w:w="33%"/>
          </w:tcPr>
          <w:p>
            <w:r>
              <w:rPr>
                <w:color w:val="1F2937"/>
                <w:sz w:val="19"/>
                <w:szCs w:val="19"/>
                <w:rFonts w:ascii="Calibri" w:cs="Calibri" w:eastAsia="Calibri" w:hAnsi="Calibri"/>
              </w:rPr>
              <w:t xml:space="preserve">5</w:t>
            </w:r>
          </w:p>
        </w:tc>
      </w:tr>
      <w:tr>
        <w:tc>
          <w:tcPr>
            <w:tcW w:type="pct" w:w="33%"/>
            <w:shd w:fill="F9FAFB" w:val="clear"/>
          </w:tcPr>
          <w:p>
            <w:r>
              <w:rPr>
                <w:color w:val="1F2937"/>
                <w:sz w:val="19"/>
                <w:szCs w:val="19"/>
                <w:rFonts w:ascii="Calibri" w:cs="Calibri" w:eastAsia="Calibri" w:hAnsi="Calibri"/>
              </w:rPr>
              <w:t xml:space="preserve">Shared kitchen (6–10 persons)</w:t>
            </w:r>
          </w:p>
        </w:tc>
        <w:tc>
          <w:tcPr>
            <w:tcW w:type="pct" w:w="33%"/>
            <w:shd w:fill="F9FAFB" w:val="clear"/>
          </w:tcPr>
          <w:p>
            <w:r>
              <w:rPr>
                <w:color w:val="1F2937"/>
                <w:sz w:val="19"/>
                <w:szCs w:val="19"/>
                <w:rFonts w:ascii="Calibri" w:cs="Calibri" w:eastAsia="Calibri" w:hAnsi="Calibri"/>
              </w:rPr>
              <w:t xml:space="preserve">10 m² recommended</w:t>
            </w:r>
          </w:p>
        </w:tc>
        <w:tc>
          <w:tcPr>
            <w:tcW w:type="pct" w:w="33%"/>
            <w:shd w:fill="F9FAFB" w:val="clear"/>
          </w:tcPr>
          <w:p>
            <w:r>
              <w:rPr>
                <w:color w:val="1F2937"/>
                <w:sz w:val="19"/>
                <w:szCs w:val="19"/>
                <w:rFonts w:ascii="Calibri" w:cs="Calibri" w:eastAsia="Calibri" w:hAnsi="Calibri"/>
              </w:rPr>
              <w:t xml:space="preserve">10</w:t>
            </w:r>
          </w:p>
        </w:tc>
      </w:tr>
    </w:tbl>
    <w:p>
      <w:pPr>
        <w:spacing w:after="120"/>
      </w:pPr>
    </w:p>
    <w:p>
      <w:pPr>
        <w:pStyle w:val="Heading2"/>
        <w:pBdr>
          <w:bottom w:val="single" w:color="E97316" w:sz="1"/>
        </w:pBdr>
        <w:spacing w:before="300" w:after="120"/>
      </w:pPr>
      <w:r>
        <w:t xml:space="preserve">5. Management Plan</w:t>
      </w:r>
    </w:p>
    <w:p>
      <w:pPr>
        <w:spacing w:after="80"/>
      </w:pPr>
      <w:r>
        <w:rPr>
          <w:b/>
          <w:bCs/>
          <w:color w:val="1F2937"/>
          <w:sz w:val="21"/>
          <w:szCs w:val="21"/>
          <w:rFonts w:ascii="Calibri" w:cs="Calibri" w:eastAsia="Calibri" w:hAnsi="Calibri"/>
        </w:rPr>
        <w:t xml:space="preserve">Licence Holder: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24-hour Emergency Contact: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Emergency response time: </w:t>
      </w:r>
      <w:r>
        <w:rPr>
          <w:u w:val="single" w:color="E5E7EB"/>
          <w:color w:val="9CA3AF"/>
          <w:sz w:val="21"/>
          <w:szCs w:val="21"/>
          <w:rFonts w:ascii="Calibri" w:cs="Calibri" w:eastAsia="Calibri" w:hAnsi="Calibri"/>
        </w:rPr>
        <w:t xml:space="preserve">[24 hours]</w:t>
      </w:r>
    </w:p>
    <w:p>
      <w:pPr>
        <w:spacing w:after="80"/>
      </w:pPr>
      <w:r>
        <w:rPr>
          <w:b/>
          <w:bCs/>
          <w:color w:val="1F2937"/>
          <w:sz w:val="21"/>
          <w:szCs w:val="21"/>
          <w:rFonts w:ascii="Calibri" w:cs="Calibri" w:eastAsia="Calibri" w:hAnsi="Calibri"/>
        </w:rPr>
        <w:t xml:space="preserve">Urgent repairs response: </w:t>
      </w:r>
      <w:r>
        <w:rPr>
          <w:u w:val="single" w:color="E5E7EB"/>
          <w:color w:val="9CA3AF"/>
          <w:sz w:val="21"/>
          <w:szCs w:val="21"/>
          <w:rFonts w:ascii="Calibri" w:cs="Calibri" w:eastAsia="Calibri" w:hAnsi="Calibri"/>
        </w:rPr>
        <w:t xml:space="preserve">[7 days]</w:t>
      </w:r>
    </w:p>
    <w:p>
      <w:pPr>
        <w:spacing w:after="80"/>
      </w:pPr>
      <w:r>
        <w:rPr>
          <w:b/>
          <w:bCs/>
          <w:color w:val="1F2937"/>
          <w:sz w:val="21"/>
          <w:szCs w:val="21"/>
          <w:rFonts w:ascii="Calibri" w:cs="Calibri" w:eastAsia="Calibri" w:hAnsi="Calibri"/>
        </w:rPr>
        <w:t xml:space="preserve">Routine repairs response: </w:t>
      </w:r>
      <w:r>
        <w:rPr>
          <w:u w:val="single" w:color="E5E7EB"/>
          <w:color w:val="9CA3AF"/>
          <w:sz w:val="21"/>
          <w:szCs w:val="21"/>
          <w:rFonts w:ascii="Calibri" w:cs="Calibri" w:eastAsia="Calibri" w:hAnsi="Calibri"/>
        </w:rPr>
        <w:t xml:space="preserve">[28 days]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ASB policy: investigate complaints within 14 days, warnings, tenancy enforcement.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Refuse: bins provided, collection days communicated to tenants.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Common areas: cleaned weekly / by rota. Inspected monthly.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Property inspections: every 3–6 months with 24 hours' notice.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Fire safety: weekly visual check, monthly alarm test, annual professional service.</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Referencing: ID verification, right to rent, landlord reference, credit check.</w:t>
      </w:r>
    </w:p>
    <w:p>
      <w:pPr>
        <w:pStyle w:val="Heading2"/>
        <w:pBdr>
          <w:bottom w:val="single" w:color="E97316" w:sz="1"/>
        </w:pBdr>
        <w:spacing w:before="300" w:after="120"/>
      </w:pPr>
      <w:r>
        <w:t xml:space="preserve">6. Fit and Proper Person Declaration</w:t>
      </w:r>
    </w:p>
    <w:p>
      <w:pPr>
        <w:spacing w:after="80"/>
      </w:pPr>
      <w:r>
        <w:rPr>
          <w:b/>
          <w:bCs/>
          <w:color w:val="1F2937"/>
          <w:sz w:val="21"/>
          <w:szCs w:val="21"/>
          <w:rFonts w:ascii="Calibri" w:cs="Calibri" w:eastAsia="Calibri" w:hAnsi="Calibri"/>
        </w:rPr>
        <w:t xml:space="preserve">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 unspent convictions for fraud, violence, drugs, sexual offences, or housing law</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Not on sex offenders register</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 banning order (Housing and Planning Act 2016)</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 previous HMO licence refusal</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Not bankrupt</w:t>
      </w:r>
    </w:p>
    <w:p>
      <w:pPr>
        <w:pStyle w:val="Heading2"/>
        <w:pBdr>
          <w:bottom w:val="single" w:color="E97316" w:sz="1"/>
        </w:pBdr>
        <w:spacing w:before="300" w:after="120"/>
      </w:pPr>
      <w:r>
        <w:t xml:space="preserve">7. Safety Certificates Record</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Certificate</w:t>
            </w:r>
          </w:p>
        </w:tc>
        <w:tc>
          <w:tcPr>
            <w:tcW w:type="pct" w:w="25%"/>
            <w:shd w:fill="E97316" w:val="clear"/>
          </w:tcPr>
          <w:p>
            <w:pPr>
              <w:jc w:val="center"/>
            </w:pPr>
            <w:r>
              <w:rPr>
                <w:b/>
                <w:bCs/>
                <w:color w:val="FFFFFF"/>
                <w:sz w:val="19"/>
                <w:szCs w:val="19"/>
                <w:rFonts w:ascii="Calibri" w:cs="Calibri" w:eastAsia="Calibri" w:hAnsi="Calibri"/>
              </w:rPr>
              <w:t xml:space="preserve">Date Obtained</w:t>
            </w:r>
          </w:p>
        </w:tc>
        <w:tc>
          <w:tcPr>
            <w:tcW w:type="pct" w:w="25%"/>
            <w:shd w:fill="E97316" w:val="clear"/>
          </w:tcPr>
          <w:p>
            <w:pPr>
              <w:jc w:val="center"/>
            </w:pPr>
            <w:r>
              <w:rPr>
                <w:b/>
                <w:bCs/>
                <w:color w:val="FFFFFF"/>
                <w:sz w:val="19"/>
                <w:szCs w:val="19"/>
                <w:rFonts w:ascii="Calibri" w:cs="Calibri" w:eastAsia="Calibri" w:hAnsi="Calibri"/>
              </w:rPr>
              <w:t xml:space="preserve">Expiry</w:t>
            </w:r>
          </w:p>
        </w:tc>
        <w:tc>
          <w:tcPr>
            <w:tcW w:type="pct" w:w="25%"/>
            <w:shd w:fill="E97316" w:val="clear"/>
          </w:tcPr>
          <w:p>
            <w:pPr>
              <w:jc w:val="center"/>
            </w:pPr>
            <w:r>
              <w:rPr>
                <w:b/>
                <w:bCs/>
                <w:color w:val="FFFFFF"/>
                <w:sz w:val="19"/>
                <w:szCs w:val="19"/>
                <w:rFonts w:ascii="Calibri" w:cs="Calibri" w:eastAsia="Calibri" w:hAnsi="Calibri"/>
              </w:rPr>
              <w:t xml:space="preserve">Reference</w:t>
            </w:r>
          </w:p>
        </w:tc>
      </w:tr>
      <w:tr>
        <w:tc>
          <w:tcPr>
            <w:tcW w:type="pct" w:w="25%"/>
            <w:shd w:fill="F9FAFB" w:val="clear"/>
          </w:tcPr>
          <w:p>
            <w:r>
              <w:rPr>
                <w:color w:val="1F2937"/>
                <w:sz w:val="19"/>
                <w:szCs w:val="19"/>
                <w:rFonts w:ascii="Calibri" w:cs="Calibri" w:eastAsia="Calibri" w:hAnsi="Calibri"/>
              </w:rPr>
              <w:t xml:space="preserve">Gas Safety (CP12)</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EICR</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EPC</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Fire Risk Assessment</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PAT Testing</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Legionella Assessment</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bl>
    <w:p>
      <w:pPr>
        <w:spacing w:after="120"/>
      </w:pP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HMO licensing requirements vary by local authority. Verify your council's specific requirements before applying.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2026-06-12T10:08:32.201Z</dcterms:created>
  <dcterms:modified xsi:type="dcterms:W3CDTF">2026-06-12T10:08:32.201Z</dcterms:modified>
</cp:coreProperties>
</file>

<file path=docProps/custom.xml><?xml version="1.0" encoding="utf-8"?>
<Properties xmlns="http://schemas.openxmlformats.org/officeDocument/2006/custom-properties" xmlns:vt="http://schemas.openxmlformats.org/officeDocument/2006/docPropsVTypes"/>
</file>