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NOTICE OF RENT INCREASE</w:t>
      </w:r>
    </w:p>
    <w:p>
      <w:pPr>
        <w:spacing w:after="200"/>
        <w:jc w:val="center"/>
      </w:pPr>
      <w:r>
        <w:rPr>
          <w:color w:val="6B7280"/>
          <w:sz w:val="22"/>
          <w:szCs w:val="22"/>
          <w:rFonts w:ascii="Calibri" w:cs="Calibri" w:eastAsia="Calibri" w:hAnsi="Calibri"/>
        </w:rPr>
        <w:t xml:space="preserve">Residential Tenancies Acts 2004–2024 — 90-Day Notice</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Republic of Ireland</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FORMAL NOTICE OF RENT INCREASE</w:t>
      </w:r>
    </w:p>
    <w:p>
      <w:pPr>
        <w:spacing w:after="120"/>
      </w:pPr>
      <w:r>
        <w:rPr>
          <w:color w:val="1F2937"/>
          <w:sz w:val="21"/>
          <w:szCs w:val="21"/>
          <w:rFonts w:ascii="Calibri" w:cs="Calibri" w:eastAsia="Calibri" w:hAnsi="Calibri"/>
        </w:rPr>
        <w:t xml:space="preserve">This notice is served pursuant to Section 22 of the Residential Tenancies Act 2004 (as amended) and constitutes formal notice of a rent increase.</w:t>
      </w:r>
    </w:p>
    <w:p>
      <w:pPr>
        <w:spacing w:after="120"/>
      </w:pPr>
      <w:r>
        <w:rPr>
          <w:color w:val="1F2937"/>
          <w:sz w:val="21"/>
          <w:szCs w:val="21"/>
          <w:rFonts w:ascii="Calibri" w:cs="Calibri" w:eastAsia="Calibri" w:hAnsi="Calibri"/>
        </w:rPr>
        <w:t xml:space="preserve">IMPORTANT: This notice must be served at least 90 days before the proposed new rent takes effect.</w:t>
      </w:r>
    </w:p>
    <w:p>
      <w:pPr>
        <w:pStyle w:val="Heading2"/>
        <w:pBdr>
          <w:bottom w:val="single" w:color="E97316" w:sz="1"/>
        </w:pBdr>
        <w:spacing w:before="300" w:after="120"/>
      </w:pPr>
      <w:r>
        <w:t xml:space="preserve">1. Landlord and Tenant Details</w:t>
      </w:r>
    </w:p>
    <w:p>
      <w:pPr>
        <w:spacing w:after="80"/>
      </w:pPr>
      <w:r>
        <w:rPr>
          <w:b/>
          <w:bCs/>
          <w:color w:val="1F2937"/>
          <w:sz w:val="21"/>
          <w:szCs w:val="21"/>
          <w:rFonts w:ascii="Calibri" w:cs="Calibri" w:eastAsia="Calibri" w:hAnsi="Calibri"/>
        </w:rPr>
        <w:t xml:space="preserve">Date of this Notice: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Landlord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Address of Dwelling: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Eircode: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RTB Registration Number: </w:t>
      </w:r>
      <w:r>
        <w:rPr>
          <w:u w:val="single" w:color="E5E7EB"/>
          <w:color w:val="9CA3AF"/>
          <w:sz w:val="21"/>
          <w:szCs w:val="21"/>
          <w:rFonts w:ascii="Calibri" w:cs="Calibri" w:eastAsia="Calibri" w:hAnsi="Calibri"/>
        </w:rPr>
        <w:t xml:space="preserve">[_______________]</w:t>
      </w:r>
    </w:p>
    <w:p>
      <w:pPr>
        <w:pStyle w:val="Heading2"/>
        <w:pBdr>
          <w:bottom w:val="single" w:color="E97316" w:sz="1"/>
        </w:pBdr>
        <w:spacing w:before="300" w:after="120"/>
      </w:pPr>
      <w:r>
        <w:t xml:space="preserve">2. Current Rent Details</w:t>
      </w:r>
    </w:p>
    <w:p>
      <w:pPr>
        <w:spacing w:after="80"/>
      </w:pPr>
      <w:r>
        <w:rPr>
          <w:b/>
          <w:bCs/>
          <w:color w:val="1F2937"/>
          <w:sz w:val="21"/>
          <w:szCs w:val="21"/>
          <w:rFonts w:ascii="Calibri" w:cs="Calibri" w:eastAsia="Calibri" w:hAnsi="Calibri"/>
        </w:rPr>
        <w:t xml:space="preserve">Current Monthly Rent: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Date Current Rent Took Effect: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Date of Last Rent Review: </w:t>
      </w:r>
      <w:r>
        <w:rPr>
          <w:u w:val="single" w:color="E5E7EB"/>
          <w:color w:val="9CA3AF"/>
          <w:sz w:val="21"/>
          <w:szCs w:val="21"/>
          <w:rFonts w:ascii="Calibri" w:cs="Calibri" w:eastAsia="Calibri" w:hAnsi="Calibri"/>
        </w:rPr>
        <w:t xml:space="preserve">[______ / ______ / 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Rent may not be reviewed more than once in any 12-month period. The date of the last review must be at least 12 months before the effective date of this increase.</w:t>
      </w:r>
    </w:p>
    <w:p>
      <w:pPr>
        <w:pStyle w:val="Heading2"/>
        <w:pBdr>
          <w:bottom w:val="single" w:color="E97316" w:sz="1"/>
        </w:pBdr>
        <w:spacing w:before="300" w:after="120"/>
      </w:pPr>
      <w:r>
        <w:t xml:space="preserve">3. New Rent Amount</w:t>
      </w:r>
    </w:p>
    <w:p>
      <w:pPr>
        <w:spacing w:after="120"/>
      </w:pPr>
      <w:r>
        <w:rPr>
          <w:color w:val="1F2937"/>
          <w:sz w:val="21"/>
          <w:szCs w:val="21"/>
          <w:rFonts w:ascii="Calibri" w:cs="Calibri" w:eastAsia="Calibri" w:hAnsi="Calibri"/>
        </w:rPr>
        <w:t xml:space="preserve">The new rent shall take effect no earlier than 90 days from the date of service of this notice.</w:t>
      </w:r>
    </w:p>
    <w:p>
      <w:pPr>
        <w:spacing w:after="80"/>
      </w:pPr>
      <w:r>
        <w:rPr>
          <w:b/>
          <w:bCs/>
          <w:color w:val="1F2937"/>
          <w:sz w:val="21"/>
          <w:szCs w:val="21"/>
          <w:rFonts w:ascii="Calibri" w:cs="Calibri" w:eastAsia="Calibri" w:hAnsi="Calibri"/>
        </w:rPr>
        <w:t xml:space="preserve">New Monthly Rent: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Effective Date of New Rent: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Increase Amount: </w:t>
      </w:r>
      <w:r>
        <w:rPr>
          <w:u w:val="single" w:color="E5E7EB"/>
          <w:color w:val="9CA3AF"/>
          <w:sz w:val="21"/>
          <w:szCs w:val="21"/>
          <w:rFonts w:ascii="Calibri" w:cs="Calibri" w:eastAsia="Calibri" w:hAnsi="Calibri"/>
        </w:rPr>
        <w:t xml:space="preserve">€[_______________] per month</w:t>
      </w:r>
    </w:p>
    <w:p>
      <w:pPr>
        <w:spacing w:after="80"/>
      </w:pPr>
      <w:r>
        <w:rPr>
          <w:b/>
          <w:bCs/>
          <w:color w:val="1F2937"/>
          <w:sz w:val="21"/>
          <w:szCs w:val="21"/>
          <w:rFonts w:ascii="Calibri" w:cs="Calibri" w:eastAsia="Calibri" w:hAnsi="Calibri"/>
        </w:rPr>
        <w:t xml:space="preserve">Percentage Increase: </w:t>
      </w:r>
      <w:r>
        <w:rPr>
          <w:u w:val="single" w:color="E5E7EB"/>
          <w:color w:val="9CA3AF"/>
          <w:sz w:val="21"/>
          <w:szCs w:val="21"/>
          <w:rFonts w:ascii="Calibri" w:cs="Calibri" w:eastAsia="Calibri" w:hAnsi="Calibri"/>
        </w:rPr>
        <w:t xml:space="preserve">[______]%</w:t>
      </w:r>
    </w:p>
    <w:p>
      <w:pPr>
        <w:pStyle w:val="Heading2"/>
        <w:pBdr>
          <w:bottom w:val="single" w:color="E97316" w:sz="1"/>
        </w:pBdr>
        <w:spacing w:before="300" w:after="120"/>
      </w:pPr>
      <w:r>
        <w:t xml:space="preserve">4. Rent Pressure Zone (RPZ) Compliance</w:t>
      </w:r>
    </w:p>
    <w:p>
      <w:pPr>
        <w:spacing w:after="120"/>
      </w:pPr>
      <w:r>
        <w:rPr>
          <w:color w:val="1F2937"/>
          <w:sz w:val="21"/>
          <w:szCs w:val="21"/>
          <w:rFonts w:ascii="Calibri" w:cs="Calibri" w:eastAsia="Calibri" w:hAnsi="Calibri"/>
        </w:rPr>
        <w:t xml:space="preserve">If the dwelling is located in a Rent Pressure Zone (RPZ), the following calculation demonstrates compliance with the 2% per annum cap:</w:t>
      </w:r>
    </w:p>
    <w:p>
      <w:pPr>
        <w:spacing w:after="80"/>
      </w:pPr>
      <w:r>
        <w:rPr>
          <w:b/>
          <w:bCs/>
          <w:color w:val="1F2937"/>
          <w:sz w:val="21"/>
          <w:szCs w:val="21"/>
          <w:rFonts w:ascii="Calibri" w:cs="Calibri" w:eastAsia="Calibri" w:hAnsi="Calibri"/>
        </w:rPr>
        <w:t xml:space="preserve">Is the dwelling in an RPZ?: </w:t>
      </w:r>
      <w:r>
        <w:rPr>
          <w:u w:val="single" w:color="E5E7EB"/>
          <w:color w:val="9CA3AF"/>
          <w:sz w:val="21"/>
          <w:szCs w:val="21"/>
          <w:rFonts w:ascii="Calibri" w:cs="Calibri" w:eastAsia="Calibri" w:hAnsi="Calibri"/>
        </w:rPr>
        <w:t xml:space="preserve">[Yes / No]</w:t>
      </w:r>
    </w:p>
    <w:p>
      <w:pPr>
        <w:spacing w:after="80"/>
      </w:pPr>
      <w:r>
        <w:rPr>
          <w:b/>
          <w:bCs/>
          <w:color w:val="1F2937"/>
          <w:sz w:val="21"/>
          <w:szCs w:val="21"/>
          <w:rFonts w:ascii="Calibri" w:cs="Calibri" w:eastAsia="Calibri" w:hAnsi="Calibri"/>
        </w:rPr>
        <w:t xml:space="preserve">RPZ Designation: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Number of months since last rent setting: </w:t>
      </w:r>
      <w:r>
        <w:rPr>
          <w:u w:val="single" w:color="E5E7EB"/>
          <w:color w:val="9CA3AF"/>
          <w:sz w:val="21"/>
          <w:szCs w:val="21"/>
          <w:rFonts w:ascii="Calibri" w:cs="Calibri" w:eastAsia="Calibri" w:hAnsi="Calibri"/>
        </w:rPr>
        <w:t xml:space="preserve">[___] months</w:t>
      </w:r>
    </w:p>
    <w:p>
      <w:pPr>
        <w:spacing w:after="80"/>
      </w:pPr>
      <w:r>
        <w:rPr>
          <w:b/>
          <w:bCs/>
          <w:color w:val="1F2937"/>
          <w:sz w:val="21"/>
          <w:szCs w:val="21"/>
          <w:rFonts w:ascii="Calibri" w:cs="Calibri" w:eastAsia="Calibri" w:hAnsi="Calibri"/>
        </w:rPr>
        <w:t xml:space="preserve">Maximum allowable increase (2% per annum pro rata):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HICP rate of inflation (if applicable): </w:t>
      </w:r>
      <w:r>
        <w:rPr>
          <w:u w:val="single" w:color="E5E7EB"/>
          <w:color w:val="9CA3AF"/>
          <w:sz w:val="21"/>
          <w:szCs w:val="21"/>
          <w:rFonts w:ascii="Calibri" w:cs="Calibri" w:eastAsia="Calibri" w:hAnsi="Calibri"/>
        </w:rPr>
        <w:t xml:space="preserve">[______]%</w:t>
      </w:r>
    </w:p>
    <w:p>
      <w:pPr>
        <w:spacing w:after="80"/>
      </w:pPr>
      <w:r>
        <w:rPr>
          <w:b/>
          <w:bCs/>
          <w:color w:val="1F2937"/>
          <w:sz w:val="21"/>
          <w:szCs w:val="21"/>
          <w:rFonts w:ascii="Calibri" w:cs="Calibri" w:eastAsia="Calibri" w:hAnsi="Calibri"/>
        </w:rPr>
        <w:t xml:space="preserve">Lower of 2% or HICP: </w:t>
      </w:r>
      <w:r>
        <w:rPr>
          <w:u w:val="single" w:color="E5E7EB"/>
          <w:color w:val="9CA3AF"/>
          <w:sz w:val="21"/>
          <w:szCs w:val="21"/>
          <w:rFonts w:ascii="Calibri" w:cs="Calibri" w:eastAsia="Calibri" w:hAnsi="Calibri"/>
        </w:rPr>
        <w:t xml:space="preserve">[______]%</w:t>
      </w:r>
    </w:p>
    <w:p>
      <w:pPr>
        <w:spacing w:after="80"/>
      </w:pPr>
      <w:r>
        <w:rPr>
          <w:b/>
          <w:bCs/>
          <w:color w:val="1F2937"/>
          <w:sz w:val="21"/>
          <w:szCs w:val="21"/>
          <w:rFonts w:ascii="Calibri" w:cs="Calibri" w:eastAsia="Calibri" w:hAnsi="Calibri"/>
        </w:rPr>
        <w:t xml:space="preserve">Calculated maximum new rent: </w:t>
      </w:r>
      <w:r>
        <w:rPr>
          <w:u w:val="single" w:color="E5E7EB"/>
          <w:color w:val="9CA3AF"/>
          <w:sz w:val="21"/>
          <w:szCs w:val="21"/>
          <w:rFonts w:ascii="Calibri" w:cs="Calibri" w:eastAsia="Calibri" w:hAnsi="Calibri"/>
        </w:rPr>
        <w:t xml:space="preserve">€[_______________]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The RPZ calculation formula is: New Rent = Previous Rent × (1 + (2% × months since last setting / 12)). If the HICP rate is lower than 2%, use the HICP rate instead.</w:t>
      </w:r>
    </w:p>
    <w:p>
      <w:pPr>
        <w:pStyle w:val="Heading2"/>
        <w:pBdr>
          <w:bottom w:val="single" w:color="E97316" w:sz="1"/>
        </w:pBdr>
        <w:spacing w:before="300" w:after="120"/>
      </w:pPr>
      <w:r>
        <w:t xml:space="preserve">5. Comparable Lettings Evidence</w:t>
      </w:r>
    </w:p>
    <w:p>
      <w:pPr>
        <w:spacing w:after="120"/>
      </w:pPr>
      <w:r>
        <w:rPr>
          <w:color w:val="1F2937"/>
          <w:sz w:val="21"/>
          <w:szCs w:val="21"/>
          <w:rFonts w:ascii="Calibri" w:cs="Calibri" w:eastAsia="Calibri" w:hAnsi="Calibri"/>
        </w:rPr>
        <w:t xml:space="preserve">The Landlord must provide details of at least three comparable lettings in the area to demonstrate the new rent does not exceed the market rate:</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No.</w:t>
            </w:r>
          </w:p>
        </w:tc>
        <w:tc>
          <w:tcPr>
            <w:tcW w:type="pct" w:w="20%"/>
            <w:shd w:fill="E97316" w:val="clear"/>
          </w:tcPr>
          <w:p>
            <w:pPr>
              <w:jc w:val="center"/>
            </w:pPr>
            <w:r>
              <w:rPr>
                <w:b/>
                <w:bCs/>
                <w:color w:val="FFFFFF"/>
                <w:sz w:val="19"/>
                <w:szCs w:val="19"/>
                <w:rFonts w:ascii="Calibri" w:cs="Calibri" w:eastAsia="Calibri" w:hAnsi="Calibri"/>
              </w:rPr>
              <w:t xml:space="preserve">Address of Comparable</w:t>
            </w:r>
          </w:p>
        </w:tc>
        <w:tc>
          <w:tcPr>
            <w:tcW w:type="pct" w:w="20%"/>
            <w:shd w:fill="E97316" w:val="clear"/>
          </w:tcPr>
          <w:p>
            <w:pPr>
              <w:jc w:val="center"/>
            </w:pPr>
            <w:r>
              <w:rPr>
                <w:b/>
                <w:bCs/>
                <w:color w:val="FFFFFF"/>
                <w:sz w:val="19"/>
                <w:szCs w:val="19"/>
                <w:rFonts w:ascii="Calibri" w:cs="Calibri" w:eastAsia="Calibri" w:hAnsi="Calibri"/>
              </w:rPr>
              <w:t xml:space="preserve">Monthly Rent</w:t>
            </w:r>
          </w:p>
        </w:tc>
        <w:tc>
          <w:tcPr>
            <w:tcW w:type="pct" w:w="20%"/>
            <w:shd w:fill="E97316" w:val="clear"/>
          </w:tcPr>
          <w:p>
            <w:pPr>
              <w:jc w:val="center"/>
            </w:pPr>
            <w:r>
              <w:rPr>
                <w:b/>
                <w:bCs/>
                <w:color w:val="FFFFFF"/>
                <w:sz w:val="19"/>
                <w:szCs w:val="19"/>
                <w:rFonts w:ascii="Calibri" w:cs="Calibri" w:eastAsia="Calibri" w:hAnsi="Calibri"/>
              </w:rPr>
              <w:t xml:space="preserve">Property Type</w:t>
            </w:r>
          </w:p>
        </w:tc>
        <w:tc>
          <w:tcPr>
            <w:tcW w:type="pct" w:w="20%"/>
            <w:shd w:fill="E97316" w:val="clear"/>
          </w:tcPr>
          <w:p>
            <w:pPr>
              <w:jc w:val="center"/>
            </w:pPr>
            <w:r>
              <w:rPr>
                <w:b/>
                <w:bCs/>
                <w:color w:val="FFFFFF"/>
                <w:sz w:val="19"/>
                <w:szCs w:val="19"/>
                <w:rFonts w:ascii="Calibri" w:cs="Calibri" w:eastAsia="Calibri" w:hAnsi="Calibri"/>
              </w:rPr>
              <w:t xml:space="preserve">Source (RTB/Daft/etc.)</w:t>
            </w:r>
          </w:p>
        </w:tc>
      </w:tr>
      <w:tr>
        <w:tc>
          <w:tcPr>
            <w:tcW w:type="pct" w:w="20%"/>
            <w:shd w:fill="F9FAFB" w:val="clear"/>
          </w:tcPr>
          <w:p>
            <w:r>
              <w:rPr>
                <w:color w:val="1F2937"/>
                <w:sz w:val="19"/>
                <w:szCs w:val="19"/>
                <w:rFonts w:ascii="Calibri" w:cs="Calibri" w:eastAsia="Calibri" w:hAnsi="Calibri"/>
              </w:rPr>
              <w:t xml:space="preserve">1</w:t>
            </w:r>
          </w:p>
        </w:tc>
        <w:tc>
          <w:tcPr>
            <w:tcW w:type="pct" w:w="20%"/>
            <w:shd w:fill="F9FAFB" w:val="clear"/>
          </w:tcPr>
          <w:p>
            <w:r>
              <w:rPr>
                <w:color w:val="1F2937"/>
                <w:sz w:val="19"/>
                <w:szCs w:val="19"/>
                <w:rFonts w:ascii="Calibri" w:cs="Calibri" w:eastAsia="Calibri" w:hAnsi="Calibri"/>
              </w:rPr>
              <w:t xml:space="preserve">[_________________________________]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2</w:t>
            </w:r>
          </w:p>
        </w:tc>
        <w:tc>
          <w:tcPr>
            <w:tcW w:type="pct" w:w="20%"/>
          </w:tcPr>
          <w:p>
            <w:r>
              <w:rPr>
                <w:color w:val="1F2937"/>
                <w:sz w:val="19"/>
                <w:szCs w:val="19"/>
                <w:rFonts w:ascii="Calibri" w:cs="Calibri" w:eastAsia="Calibri" w:hAnsi="Calibri"/>
              </w:rPr>
              <w:t xml:space="preserve">[_________________________________]</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3</w:t>
            </w:r>
          </w:p>
        </w:tc>
        <w:tc>
          <w:tcPr>
            <w:tcW w:type="pct" w:w="20%"/>
            <w:shd w:fill="F9FAFB" w:val="clear"/>
          </w:tcPr>
          <w:p>
            <w:r>
              <w:rPr>
                <w:color w:val="1F2937"/>
                <w:sz w:val="19"/>
                <w:szCs w:val="19"/>
                <w:rFonts w:ascii="Calibri" w:cs="Calibri" w:eastAsia="Calibri" w:hAnsi="Calibri"/>
              </w:rPr>
              <w:t xml:space="preserve">[_________________________________]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6. Tenant Rights</w:t>
      </w:r>
    </w:p>
    <w:p>
      <w:pPr>
        <w:spacing w:after="120"/>
      </w:pPr>
      <w:r>
        <w:rPr>
          <w:color w:val="1F2937"/>
          <w:sz w:val="21"/>
          <w:szCs w:val="21"/>
          <w:rFonts w:ascii="Calibri" w:cs="Calibri" w:eastAsia="Calibri" w:hAnsi="Calibri"/>
        </w:rPr>
        <w:t xml:space="preserve">The Tenant has the following rights in relation to this rent increase:</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The right to refer a dispute to the RTB within 28 days of receiving this notice if they believe the rent exceeds market rate or the RPZ cap.</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The right to request evidence of the comparable lettings cited above.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The right to continue paying the current rent until the effective date of the increase.</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The right to seek mediation or adjudication through the RTB (www.rtb.ie, 0818 303 037).</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The right to seek independent legal advice.</w:t>
      </w:r>
    </w:p>
    <w:p>
      <w:pPr>
        <w:pStyle w:val="Heading2"/>
        <w:pBdr>
          <w:bottom w:val="single" w:color="E97316" w:sz="1"/>
        </w:pBdr>
        <w:spacing w:before="300" w:after="120"/>
      </w:pPr>
      <w:r>
        <w:t xml:space="preserve">7. Service of Notice</w:t>
      </w:r>
    </w:p>
    <w:p>
      <w:pPr>
        <w:spacing w:after="80"/>
      </w:pPr>
      <w:r>
        <w:rPr>
          <w:b/>
          <w:bCs/>
          <w:color w:val="1F2937"/>
          <w:sz w:val="21"/>
          <w:szCs w:val="21"/>
          <w:rFonts w:ascii="Calibri" w:cs="Calibri" w:eastAsia="Calibri" w:hAnsi="Calibri"/>
        </w:rPr>
        <w:t xml:space="preserve">Method of Service: </w:t>
      </w:r>
      <w:r>
        <w:rPr>
          <w:u w:val="single" w:color="E5E7EB"/>
          <w:color w:val="9CA3AF"/>
          <w:sz w:val="21"/>
          <w:szCs w:val="21"/>
          <w:rFonts w:ascii="Calibri" w:cs="Calibri" w:eastAsia="Calibri" w:hAnsi="Calibri"/>
        </w:rPr>
        <w:t xml:space="preserve">[Registered Post / Hand Delivery / Email (if agreed)]</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Tracking Number (if registered post): </w:t>
      </w:r>
      <w:r>
        <w:rPr>
          <w:u w:val="single" w:color="E5E7EB"/>
          <w:color w:val="9CA3AF"/>
          <w:sz w:val="21"/>
          <w:szCs w:val="21"/>
          <w:rFonts w:ascii="Calibri" w:cs="Calibri" w:eastAsia="Calibri" w:hAnsi="Calibri"/>
        </w:rPr>
        <w:t xml:space="preserve">[_______________]</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 / ______ / 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This notice must comply with RTB requirements. Incorrect notices may be invalid. If the property is in a Rent Pressure Zone, the increase must not exceed 2% per annum. Always verify RPZ status at www.rtb.ie before issuing.</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2026-04-28T09:00:46.193Z</dcterms:created>
  <dcterms:modified xsi:type="dcterms:W3CDTF">2026-04-28T09:00:46.193Z</dcterms:modified>
</cp:coreProperties>
</file>

<file path=docProps/custom.xml><?xml version="1.0" encoding="utf-8"?>
<Properties xmlns="http://schemas.openxmlformats.org/officeDocument/2006/custom-properties" xmlns:vt="http://schemas.openxmlformats.org/officeDocument/2006/docPropsVTypes"/>
</file>