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NOTICE OF TERMINATION OF TENANCY</w:t>
      </w:r>
    </w:p>
    <w:p>
      <w:pPr>
        <w:spacing w:after="200"/>
        <w:jc w:val="center"/>
      </w:pPr>
      <w:r>
        <w:rPr>
          <w:color w:val="6B7280"/>
          <w:sz w:val="22"/>
          <w:szCs w:val="22"/>
          <w:rFonts w:ascii="Calibri" w:cs="Calibri" w:eastAsia="Calibri" w:hAnsi="Calibri"/>
        </w:rPr>
        <w:t xml:space="preserve">Residential Tenancies Acts 2004–2024 — Part 4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 OF TERMINATION</w:t>
      </w:r>
    </w:p>
    <w:p>
      <w:pPr>
        <w:spacing w:after="120"/>
      </w:pPr>
      <w:r>
        <w:rPr>
          <w:color w:val="1F2937"/>
          <w:sz w:val="21"/>
          <w:szCs w:val="21"/>
          <w:rFonts w:ascii="Calibri" w:cs="Calibri" w:eastAsia="Calibri" w:hAnsi="Calibri"/>
        </w:rPr>
        <w:t xml:space="preserve">This notice is served pursuant to Part 5 of the Residential Tenancies Act 2004 (as amended) and constitutes a valid notice of termination of tenancy.</w:t>
      </w:r>
    </w:p>
    <w:p>
      <w:pPr>
        <w:spacing w:after="120"/>
      </w:pPr>
      <w:r>
        <w:rPr>
          <w:color w:val="1F2937"/>
          <w:sz w:val="21"/>
          <w:szCs w:val="21"/>
          <w:rFonts w:ascii="Calibri" w:cs="Calibri" w:eastAsia="Calibri" w:hAnsi="Calibri"/>
        </w:rPr>
        <w:t xml:space="preserve">A copy of this notice has been furnished to the Residential Tenancies Board (RTB) on the same date as service on the Tenant, as required by Section 6A of the Residential Tenancies (Amendment) Act 2019.</w:t>
      </w: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of this Notice: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RTB Registration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Tenancy Commenced: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Duration of Tenancy: </w:t>
      </w:r>
      <w:r>
        <w:rPr>
          <w:u w:val="single" w:color="E5E7EB"/>
          <w:color w:val="9CA3AF"/>
          <w:sz w:val="21"/>
          <w:szCs w:val="21"/>
          <w:rFonts w:ascii="Calibri" w:cs="Calibri" w:eastAsia="Calibri" w:hAnsi="Calibri"/>
        </w:rPr>
        <w:t xml:space="preserve">[___ years, ___ months]</w:t>
      </w:r>
    </w:p>
    <w:p>
      <w:pPr>
        <w:pStyle w:val="Heading2"/>
        <w:pBdr>
          <w:bottom w:val="single" w:color="E97316" w:sz="1"/>
        </w:pBdr>
        <w:spacing w:before="300" w:after="120"/>
      </w:pPr>
      <w:r>
        <w:t xml:space="preserve">2. Termination Date and Notice Period</w:t>
      </w:r>
    </w:p>
    <w:p>
      <w:pPr>
        <w:spacing w:after="120"/>
      </w:pPr>
      <w:r>
        <w:rPr>
          <w:color w:val="1F2937"/>
          <w:sz w:val="21"/>
          <w:szCs w:val="21"/>
          <w:rFonts w:ascii="Calibri" w:cs="Calibri" w:eastAsia="Calibri" w:hAnsi="Calibri"/>
        </w:rPr>
        <w:t xml:space="preserve">The Landlord requires the Tenant to vacate and deliver up the dwelling by the date specified below. The notice period provided complies with the minimum requirements of the Residential Tenancies Acts:</w:t>
      </w:r>
    </w:p>
    <w:p>
      <w:pPr>
        <w:spacing w:after="80"/>
      </w:pPr>
      <w:r>
        <w:rPr>
          <w:b/>
          <w:bCs/>
          <w:color w:val="1F2937"/>
          <w:sz w:val="21"/>
          <w:szCs w:val="21"/>
          <w:rFonts w:ascii="Calibri" w:cs="Calibri" w:eastAsia="Calibri" w:hAnsi="Calibri"/>
        </w:rPr>
        <w:t xml:space="preserve">Termination Date (Tenant must vacate by):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Notice Period Given: </w:t>
      </w:r>
      <w:r>
        <w:rPr>
          <w:u w:val="single" w:color="E5E7EB"/>
          <w:color w:val="9CA3AF"/>
          <w:sz w:val="21"/>
          <w:szCs w:val="21"/>
          <w:rFonts w:ascii="Calibri" w:cs="Calibri" w:eastAsia="Calibri" w:hAnsi="Calibri"/>
        </w:rPr>
        <w:t xml:space="preserve">[___] days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Duration of Tenancy</w:t>
            </w:r>
          </w:p>
        </w:tc>
        <w:tc>
          <w:tcPr>
            <w:tcW w:type="pct" w:w="50%"/>
            <w:shd w:fill="E97316" w:val="clear"/>
          </w:tcPr>
          <w:p>
            <w:pPr>
              <w:jc w:val="center"/>
            </w:pPr>
            <w:r>
              <w:rPr>
                <w:b/>
                <w:bCs/>
                <w:color w:val="FFFFFF"/>
                <w:sz w:val="19"/>
                <w:szCs w:val="19"/>
                <w:rFonts w:ascii="Calibri" w:cs="Calibri" w:eastAsia="Calibri" w:hAnsi="Calibri"/>
              </w:rPr>
              <w:t xml:space="preserve">Minimum Notice by Landlord</w:t>
            </w:r>
          </w:p>
        </w:tc>
      </w:tr>
      <w:tr>
        <w:tc>
          <w:tcPr>
            <w:tcW w:type="pct" w:w="50%"/>
            <w:shd w:fill="F9FAFB" w:val="clear"/>
          </w:tcPr>
          <w:p>
            <w:r>
              <w:rPr>
                <w:color w:val="1F2937"/>
                <w:sz w:val="19"/>
                <w:szCs w:val="19"/>
                <w:rFonts w:ascii="Calibri" w:cs="Calibri" w:eastAsia="Calibri" w:hAnsi="Calibri"/>
              </w:rPr>
              <w:t xml:space="preserve">Less than 6 months</w:t>
            </w:r>
          </w:p>
        </w:tc>
        <w:tc>
          <w:tcPr>
            <w:tcW w:type="pct" w:w="50%"/>
            <w:shd w:fill="F9FAFB" w:val="clear"/>
          </w:tcPr>
          <w:p>
            <w:r>
              <w:rPr>
                <w:color w:val="1F2937"/>
                <w:sz w:val="19"/>
                <w:szCs w:val="19"/>
                <w:rFonts w:ascii="Calibri" w:cs="Calibri" w:eastAsia="Calibri" w:hAnsi="Calibri"/>
              </w:rPr>
              <w:t xml:space="preserve">90 days</w:t>
            </w:r>
          </w:p>
        </w:tc>
      </w:tr>
      <w:tr>
        <w:tc>
          <w:tcPr>
            <w:tcW w:type="pct" w:w="50%"/>
          </w:tcPr>
          <w:p>
            <w:r>
              <w:rPr>
                <w:color w:val="1F2937"/>
                <w:sz w:val="19"/>
                <w:szCs w:val="19"/>
                <w:rFonts w:ascii="Calibri" w:cs="Calibri" w:eastAsia="Calibri" w:hAnsi="Calibri"/>
              </w:rPr>
              <w:t xml:space="preserve">6 months to less than 1 year</w:t>
            </w:r>
          </w:p>
        </w:tc>
        <w:tc>
          <w:tcPr>
            <w:tcW w:type="pct" w:w="50%"/>
          </w:tcPr>
          <w:p>
            <w:r>
              <w:rPr>
                <w:color w:val="1F2937"/>
                <w:sz w:val="19"/>
                <w:szCs w:val="19"/>
                <w:rFonts w:ascii="Calibri" w:cs="Calibri" w:eastAsia="Calibri" w:hAnsi="Calibri"/>
              </w:rPr>
              <w:t xml:space="preserve">152 days</w:t>
            </w:r>
          </w:p>
        </w:tc>
      </w:tr>
      <w:tr>
        <w:tc>
          <w:tcPr>
            <w:tcW w:type="pct" w:w="50%"/>
            <w:shd w:fill="F9FAFB" w:val="clear"/>
          </w:tcPr>
          <w:p>
            <w:r>
              <w:rPr>
                <w:color w:val="1F2937"/>
                <w:sz w:val="19"/>
                <w:szCs w:val="19"/>
                <w:rFonts w:ascii="Calibri" w:cs="Calibri" w:eastAsia="Calibri" w:hAnsi="Calibri"/>
              </w:rPr>
              <w:t xml:space="preserve">1 year to less than 3 years</w:t>
            </w:r>
          </w:p>
        </w:tc>
        <w:tc>
          <w:tcPr>
            <w:tcW w:type="pct" w:w="50%"/>
            <w:shd w:fill="F9FAFB" w:val="clear"/>
          </w:tcPr>
          <w:p>
            <w:r>
              <w:rPr>
                <w:color w:val="1F2937"/>
                <w:sz w:val="19"/>
                <w:szCs w:val="19"/>
                <w:rFonts w:ascii="Calibri" w:cs="Calibri" w:eastAsia="Calibri" w:hAnsi="Calibri"/>
              </w:rPr>
              <w:t xml:space="preserve">180 days</w:t>
            </w:r>
          </w:p>
        </w:tc>
      </w:tr>
      <w:tr>
        <w:tc>
          <w:tcPr>
            <w:tcW w:type="pct" w:w="50%"/>
          </w:tcPr>
          <w:p>
            <w:r>
              <w:rPr>
                <w:color w:val="1F2937"/>
                <w:sz w:val="19"/>
                <w:szCs w:val="19"/>
                <w:rFonts w:ascii="Calibri" w:cs="Calibri" w:eastAsia="Calibri" w:hAnsi="Calibri"/>
              </w:rPr>
              <w:t xml:space="preserve">3 years to less than 7 years</w:t>
            </w:r>
          </w:p>
        </w:tc>
        <w:tc>
          <w:tcPr>
            <w:tcW w:type="pct" w:w="50%"/>
          </w:tcPr>
          <w:p>
            <w:r>
              <w:rPr>
                <w:color w:val="1F2937"/>
                <w:sz w:val="19"/>
                <w:szCs w:val="19"/>
                <w:rFonts w:ascii="Calibri" w:cs="Calibri" w:eastAsia="Calibri" w:hAnsi="Calibri"/>
              </w:rPr>
              <w:t xml:space="preserve">196 days</w:t>
            </w:r>
          </w:p>
        </w:tc>
      </w:tr>
      <w:tr>
        <w:tc>
          <w:tcPr>
            <w:tcW w:type="pct" w:w="50%"/>
            <w:shd w:fill="F9FAFB" w:val="clear"/>
          </w:tcPr>
          <w:p>
            <w:r>
              <w:rPr>
                <w:color w:val="1F2937"/>
                <w:sz w:val="19"/>
                <w:szCs w:val="19"/>
                <w:rFonts w:ascii="Calibri" w:cs="Calibri" w:eastAsia="Calibri" w:hAnsi="Calibri"/>
              </w:rPr>
              <w:t xml:space="preserve">7 years or more</w:t>
            </w:r>
          </w:p>
        </w:tc>
        <w:tc>
          <w:tcPr>
            <w:tcW w:type="pct" w:w="50%"/>
            <w:shd w:fill="F9FAFB" w:val="clear"/>
          </w:tcPr>
          <w:p>
            <w:r>
              <w:rPr>
                <w:color w:val="1F2937"/>
                <w:sz w:val="19"/>
                <w:szCs w:val="19"/>
                <w:rFonts w:ascii="Calibri" w:cs="Calibri" w:eastAsia="Calibri" w:hAnsi="Calibri"/>
              </w:rPr>
              <w:t xml:space="preserve">224 days</w:t>
            </w:r>
          </w:p>
        </w:tc>
      </w:tr>
    </w:tbl>
    <w:p>
      <w:pPr>
        <w:spacing w:after="120"/>
      </w:pPr>
    </w:p>
    <w:p>
      <w:pPr>
        <w:pStyle w:val="Heading2"/>
        <w:pBdr>
          <w:bottom w:val="single" w:color="E97316" w:sz="1"/>
        </w:pBdr>
        <w:spacing w:before="300" w:after="120"/>
      </w:pPr>
      <w:r>
        <w:t xml:space="preserve">3. Ground for Termination</w:t>
      </w:r>
    </w:p>
    <w:p>
      <w:pPr>
        <w:spacing w:after="120"/>
      </w:pPr>
      <w:r>
        <w:rPr>
          <w:color w:val="1F2937"/>
          <w:sz w:val="21"/>
          <w:szCs w:val="21"/>
          <w:rFonts w:ascii="Calibri" w:cs="Calibri" w:eastAsia="Calibri" w:hAnsi="Calibri"/>
        </w:rPr>
        <w:t xml:space="preserve">The Landlord is terminating this tenancy on the following ground (tick one):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sell the dwelling within 9 months (Section 34(b))</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requires the dwelling for own or family member occupation (Section 34(a))</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substantially refurbish or renovate the dwelling requiring the dwelling to be vacated (Section 34(c))</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change the use of the dwelling (Section 34(d))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Tenant has breached an obligation of the tenancy (Section 34(a) — first 6 months only, or with prior warning notice)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dwelling is no longer suited to the Tenant's needs (e.g., overcrowding)</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Tyrrelstown Amendment (2019), where a landlord owns 10+ units in a development, the sale ground cannot be used to terminate a Part 4 tenancy unless the dwelling is sold with vacant possession to a purchaser who is not an investor.</w:t>
      </w:r>
    </w:p>
    <w:p>
      <w:pPr>
        <w:pStyle w:val="Heading2"/>
        <w:pBdr>
          <w:bottom w:val="single" w:color="E97316" w:sz="1"/>
        </w:pBdr>
        <w:spacing w:before="300" w:after="120"/>
      </w:pPr>
      <w:r>
        <w:t xml:space="preserve">4. Supporting Information for Ground</w:t>
      </w:r>
    </w:p>
    <w:p>
      <w:pPr>
        <w:spacing w:after="120"/>
      </w:pPr>
      <w:r>
        <w:rPr>
          <w:color w:val="1F2937"/>
          <w:sz w:val="21"/>
          <w:szCs w:val="21"/>
          <w:rFonts w:ascii="Calibri" w:cs="Calibri" w:eastAsia="Calibri" w:hAnsi="Calibri"/>
        </w:rPr>
        <w:t xml:space="preserve">The Landlord provides the following information and evidence in support of the stated ground for termination:</w:t>
      </w:r>
    </w:p>
    <w:p>
      <w:pPr>
        <w:spacing w:after="80"/>
      </w:pPr>
      <w:r>
        <w:rPr>
          <w:b/>
          <w:bCs/>
          <w:color w:val="1F2937"/>
          <w:sz w:val="21"/>
          <w:szCs w:val="21"/>
          <w:rFonts w:ascii="Calibri" w:cs="Calibri" w:eastAsia="Calibri" w:hAnsi="Calibri"/>
        </w:rPr>
        <w:t xml:space="preserve">Details of the termination ground: </w:t>
      </w:r>
      <w:r>
        <w:rPr>
          <w:u w:val="single" w:color="E5E7EB"/>
          <w:color w:val="9CA3AF"/>
          <w:sz w:val="21"/>
          <w:szCs w:val="21"/>
          <w:rFonts w:ascii="Calibri" w:cs="Calibri" w:eastAsia="Calibri" w:hAnsi="Calibri"/>
        </w:rPr>
        <w:t xml:space="preserve">[Provide full details of why the dwelling is needed — e.g., name of family member, details of planned works, estate agent details for sale, etc.]</w:t>
      </w:r>
    </w:p>
    <w:p>
      <w:pPr>
        <w:spacing w:after="80"/>
      </w:pPr>
      <w:r>
        <w:rPr>
          <w:b/>
          <w:bCs/>
          <w:color w:val="1F2937"/>
          <w:sz w:val="21"/>
          <w:szCs w:val="21"/>
          <w:rFonts w:ascii="Calibri" w:cs="Calibri" w:eastAsia="Calibri" w:hAnsi="Calibri"/>
        </w:rPr>
        <w:t xml:space="preserve">Statutory declaration attached?: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Planning permission reference (if refurbishment):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Estate agent details (if sale):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Landlord must be able to evidence the stated ground. If the stated ground is not followed through (e.g., the property is not sold or refurbished), the Tenant may be entitled to compensation and the Landlord may face RTB sanctions.</w:t>
      </w:r>
    </w:p>
    <w:p>
      <w:pPr>
        <w:pStyle w:val="Heading2"/>
        <w:pBdr>
          <w:bottom w:val="single" w:color="E97316" w:sz="1"/>
        </w:pBdr>
        <w:spacing w:before="300" w:after="120"/>
      </w:pPr>
      <w:r>
        <w:t xml:space="preserve">5. Offer of Re-Tenancy</w:t>
      </w:r>
    </w:p>
    <w:p>
      <w:pPr>
        <w:spacing w:after="120"/>
      </w:pPr>
      <w:r>
        <w:rPr>
          <w:color w:val="1F2937"/>
          <w:sz w:val="21"/>
          <w:szCs w:val="21"/>
          <w:rFonts w:ascii="Calibri" w:cs="Calibri" w:eastAsia="Calibri" w:hAnsi="Calibri"/>
        </w:rPr>
        <w:t xml:space="preserve">Where the termination is based on refurbishment/renovation or change of use, the Landlord must offer the Tenant a right of re-tenancy when the works are complete, at the same rent (subject to RPZ rules):</w:t>
      </w:r>
    </w:p>
    <w:p>
      <w:pPr>
        <w:spacing w:after="80"/>
      </w:pPr>
      <w:r>
        <w:rPr>
          <w:b/>
          <w:bCs/>
          <w:color w:val="1F2937"/>
          <w:sz w:val="21"/>
          <w:szCs w:val="21"/>
          <w:rFonts w:ascii="Calibri" w:cs="Calibri" w:eastAsia="Calibri" w:hAnsi="Calibri"/>
        </w:rPr>
        <w:t xml:space="preserve">Does the Tenant have a right of re-tenancy?: </w:t>
      </w:r>
      <w:r>
        <w:rPr>
          <w:u w:val="single" w:color="E5E7EB"/>
          <w:color w:val="9CA3AF"/>
          <w:sz w:val="21"/>
          <w:szCs w:val="21"/>
          <w:rFonts w:ascii="Calibri" w:cs="Calibri" w:eastAsia="Calibri" w:hAnsi="Calibri"/>
        </w:rPr>
        <w:t xml:space="preserve">[Yes / No / N/A]</w:t>
      </w:r>
    </w:p>
    <w:p>
      <w:pPr>
        <w:spacing w:after="80"/>
      </w:pPr>
      <w:r>
        <w:rPr>
          <w:b/>
          <w:bCs/>
          <w:color w:val="1F2937"/>
          <w:sz w:val="21"/>
          <w:szCs w:val="21"/>
          <w:rFonts w:ascii="Calibri" w:cs="Calibri" w:eastAsia="Calibri" w:hAnsi="Calibri"/>
        </w:rPr>
        <w:t xml:space="preserve">Estimated completion date of works: </w:t>
      </w:r>
      <w:r>
        <w:rPr>
          <w:u w:val="single" w:color="E5E7EB"/>
          <w:color w:val="9CA3AF"/>
          <w:sz w:val="21"/>
          <w:szCs w:val="21"/>
          <w:rFonts w:ascii="Calibri" w:cs="Calibri" w:eastAsia="Calibri" w:hAnsi="Calibri"/>
        </w:rPr>
        <w:t xml:space="preserve">[______ / ______ / __________]</w:t>
      </w:r>
    </w:p>
    <w:p>
      <w:pPr>
        <w:pStyle w:val="Heading2"/>
        <w:pBdr>
          <w:bottom w:val="single" w:color="E97316" w:sz="1"/>
        </w:pBdr>
        <w:spacing w:before="300" w:after="120"/>
      </w:pPr>
      <w:r>
        <w:t xml:space="preserve">6. Tenant Rights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Tenant has 28 days from receipt of this notice to refer a dispute to the RTB if they believe the termination is invalid.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Tenant may remain in the dwelling until the termination date specified in this notice.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the Tenant believes the notice is invalid (wrong notice period, invalid ground, missing information), they should seek legal advice or contact the RTB.</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Threshold (national housing charity) provides free advice: www.threshold.ie, 1800 454 454.</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RTB can be contacted at: www.rtb.ie, 0818 303 037.</w:t>
      </w:r>
    </w:p>
    <w:p>
      <w:pPr>
        <w:pStyle w:val="Heading2"/>
        <w:pBdr>
          <w:bottom w:val="single" w:color="E97316" w:sz="1"/>
        </w:pBdr>
        <w:spacing w:before="300" w:after="120"/>
      </w:pPr>
      <w:r>
        <w:t xml:space="preserve">7. RTB Notification</w:t>
      </w:r>
    </w:p>
    <w:p>
      <w:pPr>
        <w:spacing w:after="120"/>
      </w:pPr>
      <w:r>
        <w:rPr>
          <w:color w:val="1F2937"/>
          <w:sz w:val="21"/>
          <w:szCs w:val="21"/>
          <w:rFonts w:ascii="Calibri" w:cs="Calibri" w:eastAsia="Calibri" w:hAnsi="Calibri"/>
        </w:rPr>
        <w:t xml:space="preserve">A copy of this notice has been sent to the RTB as required by law:</w:t>
      </w:r>
    </w:p>
    <w:p>
      <w:pPr>
        <w:spacing w:after="80"/>
      </w:pPr>
      <w:r>
        <w:rPr>
          <w:b/>
          <w:bCs/>
          <w:color w:val="1F2937"/>
          <w:sz w:val="21"/>
          <w:szCs w:val="21"/>
          <w:rFonts w:ascii="Calibri" w:cs="Calibri" w:eastAsia="Calibri" w:hAnsi="Calibri"/>
        </w:rPr>
        <w:t xml:space="preserve">Date sent to RTB: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Method sent to RTB: </w:t>
      </w:r>
      <w:r>
        <w:rPr>
          <w:u w:val="single" w:color="E5E7EB"/>
          <w:color w:val="9CA3AF"/>
          <w:sz w:val="21"/>
          <w:szCs w:val="21"/>
          <w:rFonts w:ascii="Calibri" w:cs="Calibri" w:eastAsia="Calibri" w:hAnsi="Calibri"/>
        </w:rPr>
        <w:t xml:space="preserve">[Online portal / Registered post / Email]</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 / ______ / __________]</w:t>
      </w:r>
    </w:p>
    <w:p>
      <w:pPr>
        <w:pStyle w:val="Heading2"/>
        <w:pBdr>
          <w:bottom w:val="single" w:color="E97316" w:sz="1"/>
        </w:pBdr>
        <w:spacing w:before="300" w:after="120"/>
      </w:pPr>
      <w:r>
        <w:t xml:space="preserve">Acknowledgment of Receipt (Optional)</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 / ______ / 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the Tenant refuses to sign acknowledgment, the notice remains valid if served correctly (e.g., registered post).</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A copy of this notice must be sent to the RTB on the same day it is served on the Tenant. Invalid notices may result in RTB sanctions and compensation orders.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2026-04-28T08:57:25.317Z</dcterms:created>
  <dcterms:modified xsi:type="dcterms:W3CDTF">2026-04-28T08:57:25.317Z</dcterms:modified>
</cp:coreProperties>
</file>

<file path=docProps/custom.xml><?xml version="1.0" encoding="utf-8"?>
<Properties xmlns="http://schemas.openxmlformats.org/officeDocument/2006/custom-properties" xmlns:vt="http://schemas.openxmlformats.org/officeDocument/2006/docPropsVTypes"/>
</file>