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CALIFORNIA RESIDENTIAL LEASE AGREEMENT</w:t>
      </w:r>
    </w:p>
    <w:p>
      <w:pPr>
        <w:spacing w:after="200"/>
        <w:jc w:val="center"/>
      </w:pPr>
      <w:r>
        <w:rPr>
          <w:color w:val="6B7280"/>
          <w:sz w:val="22"/>
          <w:szCs w:val="22"/>
          <w:rFonts w:ascii="Calibri" w:cs="Calibri" w:eastAsia="Calibri" w:hAnsi="Calibri"/>
        </w:rPr>
        <w:t xml:space="preserve">AB-1482 Tenant Protection Act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California,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Name(s):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Unit Type: </w:t>
      </w:r>
      <w:r>
        <w:rPr>
          <w:u w:val="single" w:color="E5E7EB"/>
          <w:color w:val="9CA3AF"/>
          <w:sz w:val="21"/>
          <w:szCs w:val="21"/>
          <w:rFonts w:ascii="Calibri" w:cs="Calibri" w:eastAsia="Calibri" w:hAnsi="Calibri"/>
        </w:rPr>
        <w:t xml:space="preserve">[House / Apartment / Condo / Duplex]</w:t>
      </w:r>
    </w:p>
    <w:p>
      <w:pPr>
        <w:spacing w:after="80"/>
      </w:pPr>
      <w:r>
        <w:rPr>
          <w:b/>
          <w:bCs/>
          <w:color w:val="1F2937"/>
          <w:sz w:val="21"/>
          <w:szCs w:val="21"/>
          <w:rFonts w:ascii="Calibri" w:cs="Calibri" w:eastAsia="Calibri" w:hAnsi="Calibri"/>
        </w:rPr>
        <w:t xml:space="preserve">Bedrooms / Bathrooms: </w:t>
      </w:r>
      <w:r>
        <w:rPr>
          <w:u w:val="single" w:color="E5E7EB"/>
          <w:color w:val="9CA3AF"/>
          <w:sz w:val="21"/>
          <w:szCs w:val="21"/>
          <w:rFonts w:ascii="Calibri" w:cs="Calibri" w:eastAsia="Calibri" w:hAnsi="Calibri"/>
        </w:rPr>
        <w:t xml:space="preserve">[___] / [___]</w:t>
      </w:r>
    </w:p>
    <w:p>
      <w:pPr>
        <w:spacing w:after="80"/>
      </w:pPr>
      <w:r>
        <w:rPr>
          <w:b/>
          <w:bCs/>
          <w:color w:val="1F2937"/>
          <w:sz w:val="21"/>
          <w:szCs w:val="21"/>
          <w:rFonts w:ascii="Calibri" w:cs="Calibri" w:eastAsia="Calibri" w:hAnsi="Calibri"/>
        </w:rPr>
        <w:t xml:space="preserve">Furnished?: </w:t>
      </w:r>
      <w:r>
        <w:rPr>
          <w:u w:val="single" w:color="E5E7EB"/>
          <w:color w:val="9CA3AF"/>
          <w:sz w:val="21"/>
          <w:szCs w:val="21"/>
          <w:rFonts w:ascii="Calibri" w:cs="Calibri" w:eastAsia="Calibri" w:hAnsi="Calibri"/>
        </w:rPr>
        <w:t xml:space="preserve">[Yes / No]</w:t>
      </w:r>
    </w:p>
    <w:p>
      <w:pPr>
        <w:pStyle w:val="Heading2"/>
        <w:pBdr>
          <w:bottom w:val="single" w:color="E97316" w:sz="1"/>
        </w:pBdr>
        <w:spacing w:before="300" w:after="120"/>
      </w:pPr>
      <w:r>
        <w:t xml:space="preserve">2. Lease Term and Rent</w:t>
      </w:r>
    </w:p>
    <w:p>
      <w:pPr>
        <w:spacing w:after="80"/>
      </w:pPr>
      <w:r>
        <w:rPr>
          <w:b/>
          <w:bCs/>
          <w:color w:val="1F2937"/>
          <w:sz w:val="21"/>
          <w:szCs w:val="21"/>
          <w:rFonts w:ascii="Calibri" w:cs="Calibri" w:eastAsia="Calibri" w:hAnsi="Calibri"/>
        </w:rPr>
        <w:t xml:space="preserve">Lease 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Lease 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Rent Due Date: </w:t>
      </w:r>
      <w:r>
        <w:rPr>
          <w:u w:val="single" w:color="E5E7EB"/>
          <w:color w:val="9CA3AF"/>
          <w:sz w:val="21"/>
          <w:szCs w:val="21"/>
          <w:rFonts w:ascii="Calibri" w:cs="Calibri" w:eastAsia="Calibri" w:hAnsi="Calibri"/>
        </w:rPr>
        <w:t xml:space="preserve">[1st of each month]</w:t>
      </w:r>
    </w:p>
    <w:p>
      <w:pPr>
        <w:spacing w:after="80"/>
      </w:pPr>
      <w:r>
        <w:rPr>
          <w:b/>
          <w:bCs/>
          <w:color w:val="1F2937"/>
          <w:sz w:val="21"/>
          <w:szCs w:val="21"/>
          <w:rFonts w:ascii="Calibri" w:cs="Calibri" w:eastAsia="Calibri" w:hAnsi="Calibri"/>
        </w:rPr>
        <w:t xml:space="preserve">Late Fee (after grace period):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Grace Period: </w:t>
      </w:r>
      <w:r>
        <w:rPr>
          <w:u w:val="single" w:color="E5E7EB"/>
          <w:color w:val="9CA3AF"/>
          <w:sz w:val="21"/>
          <w:szCs w:val="21"/>
          <w:rFonts w:ascii="Calibri" w:cs="Calibri" w:eastAsia="Calibri" w:hAnsi="Calibri"/>
        </w:rPr>
        <w:t xml:space="preserve">[___] days</w:t>
      </w:r>
    </w:p>
    <w:p>
      <w:pPr>
        <w:spacing w:after="80"/>
      </w:pPr>
      <w:r>
        <w:rPr>
          <w:b/>
          <w:bCs/>
          <w:color w:val="1F2937"/>
          <w:sz w:val="21"/>
          <w:szCs w:val="21"/>
          <w:rFonts w:ascii="Calibri" w:cs="Calibri" w:eastAsia="Calibri" w:hAnsi="Calibri"/>
        </w:rPr>
        <w:t xml:space="preserve">Payment Method: </w:t>
      </w:r>
      <w:r>
        <w:rPr>
          <w:u w:val="single" w:color="E5E7EB"/>
          <w:color w:val="9CA3AF"/>
          <w:sz w:val="21"/>
          <w:szCs w:val="21"/>
          <w:rFonts w:ascii="Calibri" w:cs="Calibri" w:eastAsia="Calibri" w:hAnsi="Calibri"/>
        </w:rPr>
        <w:t xml:space="preserve">[Check / Bank Transfer / Online]</w:t>
      </w:r>
    </w:p>
    <w:p>
      <w:pPr>
        <w:spacing w:after="80"/>
      </w:pPr>
      <w:r>
        <w:rPr>
          <w:b/>
          <w:bCs/>
          <w:color w:val="1F2937"/>
          <w:sz w:val="21"/>
          <w:szCs w:val="21"/>
          <w:rFonts w:ascii="Calibri" w:cs="Calibri" w:eastAsia="Calibri" w:hAnsi="Calibri"/>
        </w:rPr>
        <w:t xml:space="preserve">Make Payable To: </w:t>
      </w:r>
      <w:r>
        <w:rPr>
          <w:u w:val="single" w:color="E5E7EB"/>
          <w:color w:val="9CA3AF"/>
          <w:sz w:val="21"/>
          <w:szCs w:val="21"/>
          <w:rFonts w:ascii="Calibri" w:cs="Calibri" w:eastAsia="Calibri" w:hAnsi="Calibri"/>
        </w:rPr>
        <w:t xml:space="preserve">[_________________________________]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California law does not specify a mandatory grace period, but many local jurisdictions do. Late fees must be reasonable (typically 5–6% of monthly rent).</w:t>
      </w:r>
    </w:p>
    <w:p>
      <w:pPr>
        <w:pStyle w:val="Heading2"/>
        <w:pBdr>
          <w:bottom w:val="single" w:color="E97316" w:sz="1"/>
        </w:pBdr>
        <w:spacing w:before="300" w:after="120"/>
      </w:pPr>
      <w:r>
        <w:t xml:space="preserve">3. AB-1482 Rent Control Disclosure</w:t>
      </w:r>
    </w:p>
    <w:p>
      <w:pPr>
        <w:spacing w:after="120"/>
      </w:pPr>
      <w:r>
        <w:rPr>
          <w:color w:val="1F2937"/>
          <w:sz w:val="21"/>
          <w:szCs w:val="21"/>
          <w:rFonts w:ascii="Calibri" w:cs="Calibri" w:eastAsia="Calibri" w:hAnsi="Calibri"/>
        </w:rPr>
        <w:t xml:space="preserve">The California Tenant Protection Act (AB-1482, effective January 1, 2020) applies to most residential rental properties built 15+ years ago. Under AB-1482:</w:t>
      </w:r>
    </w:p>
    <w:p>
      <w:pPr>
        <w:spacing w:after="80"/>
      </w:pPr>
      <w:r>
        <w:rPr>
          <w:b/>
          <w:bCs/>
          <w:color w:val="1F2937"/>
          <w:sz w:val="21"/>
          <w:szCs w:val="21"/>
          <w:rFonts w:ascii="Calibri" w:cs="Calibri" w:eastAsia="Calibri" w:hAnsi="Calibri"/>
        </w:rPr>
        <w:t xml:space="preserve">Is this property subject to AB-1482?: </w:t>
      </w:r>
      <w:r>
        <w:rPr>
          <w:u w:val="single" w:color="E5E7EB"/>
          <w:color w:val="9CA3AF"/>
          <w:sz w:val="21"/>
          <w:szCs w:val="21"/>
          <w:rFonts w:ascii="Calibri" w:cs="Calibri" w:eastAsia="Calibri" w:hAnsi="Calibri"/>
        </w:rPr>
        <w:t xml:space="preserve">[Yes / No / Exempt]</w:t>
      </w:r>
    </w:p>
    <w:p>
      <w:pPr>
        <w:spacing w:after="80"/>
      </w:pPr>
      <w:r>
        <w:rPr>
          <w:b/>
          <w:bCs/>
          <w:color w:val="1F2937"/>
          <w:sz w:val="21"/>
          <w:szCs w:val="21"/>
          <w:rFonts w:ascii="Calibri" w:cs="Calibri" w:eastAsia="Calibri" w:hAnsi="Calibri"/>
        </w:rPr>
        <w:t xml:space="preserve">Exemption reason (if exempt): </w:t>
      </w:r>
      <w:r>
        <w:rPr>
          <w:u w:val="single" w:color="E5E7EB"/>
          <w:color w:val="9CA3AF"/>
          <w:sz w:val="21"/>
          <w:szCs w:val="21"/>
          <w:rFonts w:ascii="Calibri" w:cs="Calibri" w:eastAsia="Calibri" w:hAnsi="Calibri"/>
        </w:rPr>
        <w:t xml:space="preserve">[Single-family home (owner notice given) / Built within last 15 years / Owner-occupied duplex / Other: 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Annual rent increases are capped at 5% + local CPI (Consumer Price Index), or 10%, whichever is LOWER.</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Landlords must provide 30 days' written notice for increases ≤10%, or 90 days' notice for increases &gt;10%.</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Just cause eviction protections apply after 12 months of occupancy.</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Relocation assistance (1 month's rent) required for no-fault evictions.</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If exempt from AB-1482, landlord must provide written notice of exemption per Civil Code §1946.2(e). Additionally, local ordinances in LA, SF, Oakland, Berkeley, Santa Monica, and other cities may impose stricter rent control.</w:t>
      </w:r>
    </w:p>
    <w:p>
      <w:pPr>
        <w:pStyle w:val="Heading2"/>
        <w:pBdr>
          <w:bottom w:val="single" w:color="E97316" w:sz="1"/>
        </w:pBdr>
        <w:spacing w:before="300" w:after="120"/>
      </w:pPr>
      <w:r>
        <w:t xml:space="preserve">4. Security Deposit</w:t>
      </w:r>
    </w:p>
    <w:p>
      <w:pPr>
        <w:spacing w:after="120"/>
      </w:pPr>
      <w:r>
        <w:rPr>
          <w:color w:val="1F2937"/>
          <w:sz w:val="21"/>
          <w:szCs w:val="21"/>
          <w:rFonts w:ascii="Calibri" w:cs="Calibri" w:eastAsia="Calibri" w:hAnsi="Calibri"/>
        </w:rPr>
        <w:t xml:space="preserve">California Civil Code §1950.5 governs security deposits:</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Deposit held in: </w:t>
      </w:r>
      <w:r>
        <w:rPr>
          <w:u w:val="single" w:color="E5E7EB"/>
          <w:color w:val="9CA3AF"/>
          <w:sz w:val="21"/>
          <w:szCs w:val="21"/>
          <w:rFonts w:ascii="Calibri" w:cs="Calibri" w:eastAsia="Calibri" w:hAnsi="Calibri"/>
        </w:rPr>
        <w:t xml:space="preserve">[Separate account / Commingled — CA law does not require separate account]</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Maximum deposit: 2 months' rent (unfurnished) or 3 months' rent (furnished). NOTE: Effective July 1, 2024, AB-12 limits deposits to 1 month's rent for most landlords.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Deposit must be returned within 21 days of move-out with an itemized statement of deductions.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Deductions allowed: unpaid rent, cleaning (beyond normal wear and tear), repairs for tenant damage, restoration to original condition.</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Landlord must provide tenant an initial move-in inspection opportunity.</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Receipts or invoices for deductions over $125 must be provided.</w:t>
      </w:r>
    </w:p>
    <w:p>
      <w:pPr>
        <w:pStyle w:val="Heading2"/>
        <w:pBdr>
          <w:bottom w:val="single" w:color="E97316" w:sz="1"/>
        </w:pBdr>
        <w:spacing w:before="300" w:after="120"/>
      </w:pPr>
      <w:r>
        <w:t xml:space="preserve">5. Tenant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Pay rent on time as specified in this agreement.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Maintain the unit in clean and sanitary condition.</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Use all electrical, gas, plumbing, and sanitary fixtures properly.</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Not willfully or negligently destroy or damage the property.</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Not disturb other tenants' peaceful enjoyment.</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Comply with all building, housing, and health codes.</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Dispose of garbage and waste properly.</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Not make alterations without written consent.</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Provide 30 days' written notice to vacate (month-to-month) or as specified for fixed-term.</w:t>
      </w:r>
    </w:p>
    <w:p>
      <w:pPr>
        <w:pStyle w:val="Heading2"/>
        <w:pBdr>
          <w:bottom w:val="single" w:color="E97316" w:sz="1"/>
        </w:pBdr>
        <w:spacing w:before="300" w:after="120"/>
      </w:pPr>
      <w:r>
        <w:t xml:space="preserve">6. Landlord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Maintain the property in habitable condition (Civil Code §1941).</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Provide 24 hours' written notice before entry (Civil Code §1954), except emergencies.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Entry permitted only for: repairs, showing to prospective tenants/buyers, inspections, or court order.</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Provide functioning smoke detectors and carbon monoxide detectors.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Maintain weatherproofing, plumbing, heating, and electrical systems.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Provide adequate trash receptacles.</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Comply with all health and safety codes.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Not retaliate against tenants for exercising legal rights (Civil Code §1942.5).</w:t>
      </w:r>
    </w:p>
    <w:p>
      <w:pPr>
        <w:pStyle w:val="Heading2"/>
        <w:pBdr>
          <w:bottom w:val="single" w:color="E97316" w:sz="1"/>
        </w:pBdr>
        <w:spacing w:before="300" w:after="120"/>
      </w:pPr>
      <w:r>
        <w:t xml:space="preserve">7. Required Disclosures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Lead-based paint disclosure (pre-1978 buildings) — Federal requirement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Mold disclosure — known mold or environmental hazards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Bed bug disclosure — known infestations or history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Pest control disclosure — any pesticide treatments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Military ordnance location disclosure (if within 1 mile)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Sex offender database notice (Megan's Law)</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Demolition intent disclosure (if planned within 5 years)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Flooding/natural hazard zone disclosure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AB-1482 exemption notice (if applicable)</w:t>
      </w:r>
    </w:p>
    <w:p>
      <w:pPr>
        <w:pStyle w:val="Heading2"/>
        <w:pBdr>
          <w:bottom w:val="single" w:color="E97316" w:sz="1"/>
        </w:pBdr>
        <w:spacing w:before="300" w:after="120"/>
      </w:pPr>
      <w:r>
        <w:t xml:space="preserve">8. Termination and Eviction</w:t>
      </w:r>
    </w:p>
    <w:p>
      <w:pPr>
        <w:spacing w:after="120"/>
      </w:pPr>
      <w:r>
        <w:rPr>
          <w:color w:val="1F2937"/>
          <w:sz w:val="21"/>
          <w:szCs w:val="21"/>
          <w:rFonts w:ascii="Calibri" w:cs="Calibri" w:eastAsia="Calibri" w:hAnsi="Calibri"/>
        </w:rPr>
        <w:t xml:space="preserve">Just cause eviction (AB-1482, after 12 months):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Details</w:t>
            </w:r>
          </w:p>
        </w:tc>
      </w:tr>
      <w:tr>
        <w:tc>
          <w:tcPr>
            <w:tcW w:type="pct" w:w="33%"/>
            <w:shd w:fill="F9FAFB" w:val="clear"/>
          </w:tcPr>
          <w:p>
            <w:r>
              <w:rPr>
                <w:color w:val="1F2937"/>
                <w:sz w:val="19"/>
                <w:szCs w:val="19"/>
                <w:rFonts w:ascii="Calibri" w:cs="Calibri" w:eastAsia="Calibri" w:hAnsi="Calibri"/>
              </w:rPr>
              <w:t xml:space="preserve">Non-payment of rent</w:t>
            </w:r>
          </w:p>
        </w:tc>
        <w:tc>
          <w:tcPr>
            <w:tcW w:type="pct" w:w="33%"/>
            <w:shd w:fill="F9FAFB" w:val="clear"/>
          </w:tcPr>
          <w:p>
            <w:r>
              <w:rPr>
                <w:color w:val="1F2937"/>
                <w:sz w:val="19"/>
                <w:szCs w:val="19"/>
                <w:rFonts w:ascii="Calibri" w:cs="Calibri" w:eastAsia="Calibri" w:hAnsi="Calibri"/>
              </w:rPr>
              <w:t xml:space="preserve">3 days</w:t>
            </w:r>
          </w:p>
        </w:tc>
        <w:tc>
          <w:tcPr>
            <w:tcW w:type="pct" w:w="33%"/>
            <w:shd w:fill="F9FAFB" w:val="clear"/>
          </w:tcPr>
          <w:p>
            <w:r>
              <w:rPr>
                <w:color w:val="1F2937"/>
                <w:sz w:val="19"/>
                <w:szCs w:val="19"/>
                <w:rFonts w:ascii="Calibri" w:cs="Calibri" w:eastAsia="Calibri" w:hAnsi="Calibri"/>
              </w:rPr>
              <w:t xml:space="preserve">Pay or quit (CCP §1161)</w:t>
            </w:r>
          </w:p>
        </w:tc>
      </w:tr>
      <w:tr>
        <w:tc>
          <w:tcPr>
            <w:tcW w:type="pct" w:w="33%"/>
          </w:tcPr>
          <w:p>
            <w:r>
              <w:rPr>
                <w:color w:val="1F2937"/>
                <w:sz w:val="19"/>
                <w:szCs w:val="19"/>
                <w:rFonts w:ascii="Calibri" w:cs="Calibri" w:eastAsia="Calibri" w:hAnsi="Calibri"/>
              </w:rPr>
              <w:t xml:space="preserve">Lease violation (curable)</w:t>
            </w:r>
          </w:p>
        </w:tc>
        <w:tc>
          <w:tcPr>
            <w:tcW w:type="pct" w:w="33%"/>
          </w:tcPr>
          <w:p>
            <w:r>
              <w:rPr>
                <w:color w:val="1F2937"/>
                <w:sz w:val="19"/>
                <w:szCs w:val="19"/>
                <w:rFonts w:ascii="Calibri" w:cs="Calibri" w:eastAsia="Calibri" w:hAnsi="Calibri"/>
              </w:rPr>
              <w:t xml:space="preserve">3 days</w:t>
            </w:r>
          </w:p>
        </w:tc>
        <w:tc>
          <w:tcPr>
            <w:tcW w:type="pct" w:w="33%"/>
          </w:tcPr>
          <w:p>
            <w:r>
              <w:rPr>
                <w:color w:val="1F2937"/>
                <w:sz w:val="19"/>
                <w:szCs w:val="19"/>
                <w:rFonts w:ascii="Calibri" w:cs="Calibri" w:eastAsia="Calibri" w:hAnsi="Calibri"/>
              </w:rPr>
              <w:t xml:space="preserve">Cure or quit</w:t>
            </w:r>
          </w:p>
        </w:tc>
      </w:tr>
      <w:tr>
        <w:tc>
          <w:tcPr>
            <w:tcW w:type="pct" w:w="33%"/>
            <w:shd w:fill="F9FAFB" w:val="clear"/>
          </w:tcPr>
          <w:p>
            <w:r>
              <w:rPr>
                <w:color w:val="1F2937"/>
                <w:sz w:val="19"/>
                <w:szCs w:val="19"/>
                <w:rFonts w:ascii="Calibri" w:cs="Calibri" w:eastAsia="Calibri" w:hAnsi="Calibri"/>
              </w:rPr>
              <w:t xml:space="preserve">Lease violation (incurable)</w:t>
            </w:r>
          </w:p>
        </w:tc>
        <w:tc>
          <w:tcPr>
            <w:tcW w:type="pct" w:w="33%"/>
            <w:shd w:fill="F9FAFB" w:val="clear"/>
          </w:tcPr>
          <w:p>
            <w:r>
              <w:rPr>
                <w:color w:val="1F2937"/>
                <w:sz w:val="19"/>
                <w:szCs w:val="19"/>
                <w:rFonts w:ascii="Calibri" w:cs="Calibri" w:eastAsia="Calibri" w:hAnsi="Calibri"/>
              </w:rPr>
              <w:t xml:space="preserve">3 days</w:t>
            </w:r>
          </w:p>
        </w:tc>
        <w:tc>
          <w:tcPr>
            <w:tcW w:type="pct" w:w="33%"/>
            <w:shd w:fill="F9FAFB" w:val="clear"/>
          </w:tcPr>
          <w:p>
            <w:r>
              <w:rPr>
                <w:color w:val="1F2937"/>
                <w:sz w:val="19"/>
                <w:szCs w:val="19"/>
                <w:rFonts w:ascii="Calibri" w:cs="Calibri" w:eastAsia="Calibri" w:hAnsi="Calibri"/>
              </w:rPr>
              <w:t xml:space="preserve">Unconditional quit</w:t>
            </w:r>
          </w:p>
        </w:tc>
      </w:tr>
      <w:tr>
        <w:tc>
          <w:tcPr>
            <w:tcW w:type="pct" w:w="33%"/>
          </w:tcPr>
          <w:p>
            <w:r>
              <w:rPr>
                <w:color w:val="1F2937"/>
                <w:sz w:val="19"/>
                <w:szCs w:val="19"/>
                <w:rFonts w:ascii="Calibri" w:cs="Calibri" w:eastAsia="Calibri" w:hAnsi="Calibri"/>
              </w:rPr>
              <w:t xml:space="preserve">Month-to-month (no cause, &lt;1 yr)</w:t>
            </w:r>
          </w:p>
        </w:tc>
        <w:tc>
          <w:tcPr>
            <w:tcW w:type="pct" w:w="33%"/>
          </w:tcPr>
          <w:p>
            <w:r>
              <w:rPr>
                <w:color w:val="1F2937"/>
                <w:sz w:val="19"/>
                <w:szCs w:val="19"/>
                <w:rFonts w:ascii="Calibri" w:cs="Calibri" w:eastAsia="Calibri" w:hAnsi="Calibri"/>
              </w:rPr>
              <w:t xml:space="preserve">30 days</w:t>
            </w:r>
          </w:p>
        </w:tc>
        <w:tc>
          <w:tcPr>
            <w:tcW w:type="pct" w:w="33%"/>
          </w:tcPr>
          <w:p>
            <w:r>
              <w:rPr>
                <w:color w:val="1F2937"/>
                <w:sz w:val="19"/>
                <w:szCs w:val="19"/>
                <w:rFonts w:ascii="Calibri" w:cs="Calibri" w:eastAsia="Calibri" w:hAnsi="Calibri"/>
              </w:rPr>
              <w:t xml:space="preserve">No cause required</w:t>
            </w:r>
          </w:p>
        </w:tc>
      </w:tr>
      <w:tr>
        <w:tc>
          <w:tcPr>
            <w:tcW w:type="pct" w:w="33%"/>
            <w:shd w:fill="F9FAFB" w:val="clear"/>
          </w:tcPr>
          <w:p>
            <w:r>
              <w:rPr>
                <w:color w:val="1F2937"/>
                <w:sz w:val="19"/>
                <w:szCs w:val="19"/>
                <w:rFonts w:ascii="Calibri" w:cs="Calibri" w:eastAsia="Calibri" w:hAnsi="Calibri"/>
              </w:rPr>
              <w:t xml:space="preserve">Month-to-month (no cause, ≥1 yr)</w:t>
            </w:r>
          </w:p>
        </w:tc>
        <w:tc>
          <w:tcPr>
            <w:tcW w:type="pct" w:w="33%"/>
            <w:shd w:fill="F9FAFB" w:val="clear"/>
          </w:tcPr>
          <w:p>
            <w:r>
              <w:rPr>
                <w:color w:val="1F2937"/>
                <w:sz w:val="19"/>
                <w:szCs w:val="19"/>
                <w:rFonts w:ascii="Calibri" w:cs="Calibri" w:eastAsia="Calibri" w:hAnsi="Calibri"/>
              </w:rPr>
              <w:t xml:space="preserve">60 days</w:t>
            </w:r>
          </w:p>
        </w:tc>
        <w:tc>
          <w:tcPr>
            <w:tcW w:type="pct" w:w="33%"/>
            <w:shd w:fill="F9FAFB" w:val="clear"/>
          </w:tcPr>
          <w:p>
            <w:r>
              <w:rPr>
                <w:color w:val="1F2937"/>
                <w:sz w:val="19"/>
                <w:szCs w:val="19"/>
                <w:rFonts w:ascii="Calibri" w:cs="Calibri" w:eastAsia="Calibri" w:hAnsi="Calibri"/>
              </w:rPr>
              <w:t xml:space="preserve">Just cause required under AB-1482</w:t>
            </w:r>
          </w:p>
        </w:tc>
      </w:tr>
      <w:tr>
        <w:tc>
          <w:tcPr>
            <w:tcW w:type="pct" w:w="33%"/>
          </w:tcPr>
          <w:p>
            <w:r>
              <w:rPr>
                <w:color w:val="1F2937"/>
                <w:sz w:val="19"/>
                <w:szCs w:val="19"/>
                <w:rFonts w:ascii="Calibri" w:cs="Calibri" w:eastAsia="Calibri" w:hAnsi="Calibri"/>
              </w:rPr>
              <w:t xml:space="preserve">Owner move-in (no-fault)</w:t>
            </w:r>
          </w:p>
        </w:tc>
        <w:tc>
          <w:tcPr>
            <w:tcW w:type="pct" w:w="33%"/>
          </w:tcPr>
          <w:p>
            <w:r>
              <w:rPr>
                <w:color w:val="1F2937"/>
                <w:sz w:val="19"/>
                <w:szCs w:val="19"/>
                <w:rFonts w:ascii="Calibri" w:cs="Calibri" w:eastAsia="Calibri" w:hAnsi="Calibri"/>
              </w:rPr>
              <w:t xml:space="preserve">60 days</w:t>
            </w:r>
          </w:p>
        </w:tc>
        <w:tc>
          <w:tcPr>
            <w:tcW w:type="pct" w:w="33%"/>
          </w:tcPr>
          <w:p>
            <w:r>
              <w:rPr>
                <w:color w:val="1F2937"/>
                <w:sz w:val="19"/>
                <w:szCs w:val="19"/>
                <w:rFonts w:ascii="Calibri" w:cs="Calibri" w:eastAsia="Calibri" w:hAnsi="Calibri"/>
              </w:rPr>
              <w:t xml:space="preserve">Relocation assistance = 1 month rent</w:t>
            </w:r>
          </w:p>
        </w:tc>
      </w:tr>
      <w:tr>
        <w:tc>
          <w:tcPr>
            <w:tcW w:type="pct" w:w="33%"/>
            <w:shd w:fill="F9FAFB" w:val="clear"/>
          </w:tcPr>
          <w:p>
            <w:r>
              <w:rPr>
                <w:color w:val="1F2937"/>
                <w:sz w:val="19"/>
                <w:szCs w:val="19"/>
                <w:rFonts w:ascii="Calibri" w:cs="Calibri" w:eastAsia="Calibri" w:hAnsi="Calibri"/>
              </w:rPr>
              <w:t xml:space="preserve">Substantial renovation (no-fault)</w:t>
            </w:r>
          </w:p>
        </w:tc>
        <w:tc>
          <w:tcPr>
            <w:tcW w:type="pct" w:w="33%"/>
            <w:shd w:fill="F9FAFB" w:val="clear"/>
          </w:tcPr>
          <w:p>
            <w:r>
              <w:rPr>
                <w:color w:val="1F2937"/>
                <w:sz w:val="19"/>
                <w:szCs w:val="19"/>
                <w:rFonts w:ascii="Calibri" w:cs="Calibri" w:eastAsia="Calibri" w:hAnsi="Calibri"/>
              </w:rPr>
              <w:t xml:space="preserve">60 days</w:t>
            </w:r>
          </w:p>
        </w:tc>
        <w:tc>
          <w:tcPr>
            <w:tcW w:type="pct" w:w="33%"/>
            <w:shd w:fill="F9FAFB" w:val="clear"/>
          </w:tcPr>
          <w:p>
            <w:r>
              <w:rPr>
                <w:color w:val="1F2937"/>
                <w:sz w:val="19"/>
                <w:szCs w:val="19"/>
                <w:rFonts w:ascii="Calibri" w:cs="Calibri" w:eastAsia="Calibri" w:hAnsi="Calibri"/>
              </w:rPr>
              <w:t xml:space="preserve">Relocation assistance = 1 month rent</w:t>
            </w:r>
          </w:p>
        </w:tc>
      </w:tr>
    </w:tbl>
    <w:p>
      <w:pPr>
        <w:spacing w:after="120"/>
      </w:pPr>
    </w:p>
    <w:p>
      <w:r>
        <w:br w:type="page"/>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California law is complex with strict local ordinances (LA, SF, Oakland). This template covers state-level requirements. Have an attorney review before use. Local rent control may impose additional requirements.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2026-04-28T09:08:01.565Z</dcterms:created>
  <dcterms:modified xsi:type="dcterms:W3CDTF">2026-04-28T09:08:01.565Z</dcterms:modified>
</cp:coreProperties>
</file>

<file path=docProps/custom.xml><?xml version="1.0" encoding="utf-8"?>
<Properties xmlns="http://schemas.openxmlformats.org/officeDocument/2006/custom-properties" xmlns:vt="http://schemas.openxmlformats.org/officeDocument/2006/docPropsVTypes"/>
</file>