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FLORIDA RESIDENTIAL LEASE AGREEMENT</w:t>
      </w:r>
    </w:p>
    <w:p>
      <w:pPr>
        <w:spacing w:after="200"/>
        <w:jc w:val="center"/>
      </w:pPr>
      <w:r>
        <w:rPr>
          <w:color w:val="6B7280"/>
          <w:sz w:val="22"/>
          <w:szCs w:val="22"/>
          <w:rFonts w:ascii="Calibri" w:cs="Calibri" w:eastAsia="Calibri" w:hAnsi="Calibri"/>
        </w:rPr>
        <w:t xml:space="preserve">Florida Statute 83 (Part II)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Florida,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Florida has no statewide rent control. Municipalities may not enact rent control without voter referendum (FL Stat. §166.043).</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NSF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FL Statute §83.49 — Security Deposit Notice Requirements: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Holding Method: </w:t>
      </w:r>
      <w:r>
        <w:rPr>
          <w:u w:val="single" w:color="E5E7EB"/>
          <w:color w:val="9CA3AF"/>
          <w:sz w:val="21"/>
          <w:szCs w:val="21"/>
          <w:rFonts w:ascii="Calibri" w:cs="Calibri" w:eastAsia="Calibri" w:hAnsi="Calibri"/>
        </w:rPr>
        <w:t xml:space="preserve">[Separate non-interest / Separate interest / Surety bond]</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Within 30 days of receiving deposit, landlord must notify tenant IN WRITING of: bank name, bank address, whether deposit is held in interest-bearing or non-interest-bearing account.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interest-bearing: tenant entitled to 75% of annualized interest rate or 5% simple interest per year (whichever landlord chooses).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commingled: landlord must post a surety bond.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Return within 15 days (no deductions) or 30 days (with deductions + itemized notice).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to give 30-day notice of deductions, landlord forfeits right to deduct.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Tenant has 15 days to object to proposed deductions.</w:t>
      </w:r>
    </w:p>
    <w:p>
      <w:pPr>
        <w:pStyle w:val="Heading2"/>
        <w:pBdr>
          <w:bottom w:val="single" w:color="E97316" w:sz="1"/>
        </w:pBdr>
        <w:spacing w:before="300" w:after="120"/>
      </w:pPr>
      <w:r>
        <w:t xml:space="preserve">4. Required Disclosures</w:t>
      </w:r>
    </w:p>
    <w:p>
      <w:pPr>
        <w:spacing w:after="120"/>
      </w:pPr>
      <w:r>
        <w:rPr>
          <w:color w:val="1F2937"/>
          <w:sz w:val="21"/>
          <w:szCs w:val="21"/>
          <w:rFonts w:ascii="Calibri" w:cs="Calibri" w:eastAsia="Calibri" w:hAnsi="Calibri"/>
        </w:rPr>
        <w:t xml:space="preserve">REQUIRED RADON DISCLOSURE (must be included verbatim):</w:t>
      </w:r>
    </w:p>
    <w:p>
      <w:pPr>
        <w:spacing w:after="120"/>
      </w:pPr>
      <w:r>
        <w:rPr>
          <w:color w:val="1F2937"/>
          <w:sz w:val="21"/>
          <w:szCs w:val="21"/>
          <w:rFonts w:ascii="Calibri" w:cs="Calibri" w:eastAsia="Calibri" w:hAnsi="Calibri"/>
        </w:rPr>
        <w:t xml:space="preserve">"RADON GAS: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gas disclosure (FL Stat. §404.056) — MANDATORY for all residential leases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contact / agent information</w:t>
      </w:r>
    </w:p>
    <w:p>
      <w:pPr>
        <w:pStyle w:val="Heading2"/>
        <w:pBdr>
          <w:bottom w:val="single" w:color="E97316" w:sz="1"/>
        </w:pBdr>
        <w:spacing w:before="300" w:after="120"/>
      </w:pPr>
      <w:r>
        <w:t xml:space="preserve">5.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compliance with building, housing, and health codes.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roof, windows, doors, floors, steps, porches, exterior walls, foundations, and all structural components.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Maintain plumbing in reasonable working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reasonable extermination when required.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locks and keys.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garbage removal and outside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functioning smoke detectors.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Give 12 hours' notice before entry (FL Stat. §83.53).</w:t>
      </w:r>
    </w:p>
    <w:p>
      <w:pPr>
        <w:pStyle w:val="Heading2"/>
        <w:pBdr>
          <w:bottom w:val="single" w:color="E97316" w:sz="1"/>
        </w:pBdr>
        <w:spacing w:before="300" w:after="120"/>
      </w:pPr>
      <w:r>
        <w:t xml:space="preserve">6. Termination and Eviction</w:t>
      </w:r>
    </w:p>
    <w:p>
      <w:pPr>
        <w:spacing w:after="120"/>
      </w:pPr>
      <w:r>
        <w:rPr>
          <w:color w:val="1F2937"/>
          <w:sz w:val="21"/>
          <w:szCs w:val="21"/>
          <w:rFonts w:ascii="Calibri" w:cs="Calibri" w:eastAsia="Calibri" w:hAnsi="Calibri"/>
        </w:rPr>
        <w:t xml:space="preserve">Florida eviction timeline: 15–30 days typical (fast compared to most states). Filed in County Court. Tenant has 5 days to respond after summons.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Written demand; tenant may pay to cure</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7 days to cure</w:t>
            </w:r>
          </w:p>
        </w:tc>
        <w:tc>
          <w:tcPr>
            <w:tcW w:type="pct" w:w="33%"/>
          </w:tcPr>
          <w:p>
            <w:r>
              <w:rPr>
                <w:color w:val="1F2937"/>
                <w:sz w:val="19"/>
                <w:szCs w:val="19"/>
                <w:rFonts w:ascii="Calibri" w:cs="Calibri" w:eastAsia="Calibri" w:hAnsi="Calibri"/>
              </w:rPr>
              <w:t xml:space="preserve">Must specify violation and cure</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7 days</w:t>
            </w:r>
          </w:p>
        </w:tc>
        <w:tc>
          <w:tcPr>
            <w:tcW w:type="pct" w:w="33%"/>
            <w:shd w:fill="F9FAFB" w:val="clear"/>
          </w:tcPr>
          <w:p>
            <w:r>
              <w:rPr>
                <w:color w:val="1F2937"/>
                <w:sz w:val="19"/>
                <w:szCs w:val="19"/>
                <w:rFonts w:ascii="Calibri" w:cs="Calibri" w:eastAsia="Calibri" w:hAnsi="Calibri"/>
              </w:rPr>
              <w:t xml:space="preserve">Unconditional quit; no cure</w:t>
            </w:r>
          </w:p>
        </w:tc>
      </w:tr>
      <w:tr>
        <w:tc>
          <w:tcPr>
            <w:tcW w:type="pct" w:w="33%"/>
          </w:tcPr>
          <w:p>
            <w:r>
              <w:rPr>
                <w:color w:val="1F2937"/>
                <w:sz w:val="19"/>
                <w:szCs w:val="19"/>
                <w:rFonts w:ascii="Calibri" w:cs="Calibri" w:eastAsia="Calibri" w:hAnsi="Calibri"/>
              </w:rPr>
              <w:t xml:space="preserve">Month-to-month</w:t>
            </w:r>
          </w:p>
        </w:tc>
        <w:tc>
          <w:tcPr>
            <w:tcW w:type="pct" w:w="33%"/>
          </w:tcPr>
          <w:p>
            <w:r>
              <w:rPr>
                <w:color w:val="1F2937"/>
                <w:sz w:val="19"/>
                <w:szCs w:val="19"/>
                <w:rFonts w:ascii="Calibri" w:cs="Calibri" w:eastAsia="Calibri" w:hAnsi="Calibri"/>
              </w:rPr>
              <w:t xml:space="preserve">15 days</w:t>
            </w:r>
          </w:p>
        </w:tc>
        <w:tc>
          <w:tcPr>
            <w:tcW w:type="pct" w:w="33%"/>
          </w:tcPr>
          <w:p>
            <w:r>
              <w:rPr>
                <w:color w:val="1F2937"/>
                <w:sz w:val="19"/>
                <w:szCs w:val="19"/>
                <w:rFonts w:ascii="Calibri" w:cs="Calibri" w:eastAsia="Calibri" w:hAnsi="Calibri"/>
              </w:rPr>
              <w:t xml:space="preserve">Either party</w:t>
            </w:r>
          </w:p>
        </w:tc>
      </w:tr>
      <w:tr>
        <w:tc>
          <w:tcPr>
            <w:tcW w:type="pct" w:w="33%"/>
            <w:shd w:fill="F9FAFB" w:val="clear"/>
          </w:tcPr>
          <w:p>
            <w:r>
              <w:rPr>
                <w:color w:val="1F2937"/>
                <w:sz w:val="19"/>
                <w:szCs w:val="19"/>
                <w:rFonts w:ascii="Calibri" w:cs="Calibri" w:eastAsia="Calibri" w:hAnsi="Calibri"/>
              </w:rPr>
              <w:t xml:space="preserve">Quarter-to-quarter</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Year-to-year</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Either party</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(SCRA) and domestic violence provisions allow early lease termination with proper documentation.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FL Statute 83. Procedural errors are costly in evictions.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2026-03-14T05:30:47.176Z</dcterms:created>
  <dcterms:modified xsi:type="dcterms:W3CDTF">2026-03-14T05:30:47.176Z</dcterms:modified>
</cp:coreProperties>
</file>

<file path=docProps/custom.xml><?xml version="1.0" encoding="utf-8"?>
<Properties xmlns="http://schemas.openxmlformats.org/officeDocument/2006/custom-properties" xmlns:vt="http://schemas.openxmlformats.org/officeDocument/2006/docPropsVTypes"/>
</file>