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FLORIDA RESIDENTIAL LEASE AGREEMENT</w:t>
      </w:r>
    </w:p>
    <w:p>
      <w:pPr>
        <w:spacing w:after="200"/>
        <w:jc w:val="center"/>
      </w:pPr>
      <w:r>
        <w:rPr>
          <w:color w:val="6B7280"/>
          <w:sz w:val="22"/>
          <w:szCs w:val="22"/>
          <w:rFonts w:ascii="Calibri" w:cs="Calibri" w:eastAsia="Calibri" w:hAnsi="Calibri"/>
        </w:rPr>
        <w:t xml:space="preserve">Florida Statute 83 (Part II)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Florida, USA</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(for service):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City / ZIP: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Term and Rent</w:t>
      </w:r>
    </w:p>
    <w:p>
      <w:pPr>
        <w:spacing w:after="120"/>
      </w:pPr>
      <w:r>
        <w:rPr>
          <w:color w:val="1F2937"/>
          <w:sz w:val="21"/>
          <w:szCs w:val="21"/>
          <w:rFonts w:ascii="Calibri" w:cs="Calibri" w:eastAsia="Calibri" w:hAnsi="Calibri"/>
        </w:rPr>
        <w:t xml:space="preserve">Florida has no statewide rent control. Municipalities may not enact rent control without voter referendum (FL Stat. §166.043).</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of month]</w:t>
      </w:r>
    </w:p>
    <w:p>
      <w:pPr>
        <w:spacing w:after="80"/>
      </w:pPr>
      <w:r>
        <w:rPr>
          <w:b/>
          <w:bCs/>
          <w:color w:val="1F2937"/>
          <w:sz w:val="21"/>
          <w:szCs w:val="21"/>
          <w:rFonts w:ascii="Calibri" w:cs="Calibri" w:eastAsia="Calibri" w:hAnsi="Calibri"/>
        </w:rPr>
        <w:t xml:space="preserve">Late Fee: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NSF Fee: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3. Security Deposit</w:t>
      </w:r>
    </w:p>
    <w:p>
      <w:pPr>
        <w:spacing w:after="120"/>
      </w:pPr>
      <w:r>
        <w:rPr>
          <w:color w:val="1F2937"/>
          <w:sz w:val="21"/>
          <w:szCs w:val="21"/>
          <w:rFonts w:ascii="Calibri" w:cs="Calibri" w:eastAsia="Calibri" w:hAnsi="Calibri"/>
        </w:rPr>
        <w:t xml:space="preserve">FL Statute §83.49 — Security Deposit Notice Requirements:</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Holding Method: </w:t>
      </w:r>
      <w:r>
        <w:rPr>
          <w:u w:val="single" w:color="E5E7EB"/>
          <w:color w:val="9CA3AF"/>
          <w:sz w:val="21"/>
          <w:szCs w:val="21"/>
          <w:rFonts w:ascii="Calibri" w:cs="Calibri" w:eastAsia="Calibri" w:hAnsi="Calibri"/>
        </w:rPr>
        <w:t xml:space="preserve">[Separate non-interest / Separate interest / Surety bond]</w:t>
      </w:r>
    </w:p>
    <w:p>
      <w:pPr>
        <w:spacing w:after="80"/>
      </w:pPr>
      <w:r>
        <w:rPr>
          <w:b/>
          <w:bCs/>
          <w:color w:val="1F2937"/>
          <w:sz w:val="21"/>
          <w:szCs w:val="21"/>
          <w:rFonts w:ascii="Calibri" w:cs="Calibri" w:eastAsia="Calibri" w:hAnsi="Calibri"/>
        </w:rPr>
        <w:t xml:space="preserve">Bank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Bank Address: </w:t>
      </w:r>
      <w:r>
        <w:rPr>
          <w:u w:val="single" w:color="E5E7EB"/>
          <w:color w:val="9CA3AF"/>
          <w:sz w:val="21"/>
          <w:szCs w:val="21"/>
          <w:rFonts w:ascii="Calibri" w:cs="Calibri" w:eastAsia="Calibri" w:hAnsi="Calibri"/>
        </w:rPr>
        <w:t xml:space="preserve">[_________________________________]</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No statutory limit on deposit amount.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Within 30 days of receiving deposit, landlord must notify tenant IN WRITING of: bank name, bank address, whether deposit is held in interest-bearing or non-interest-bearing account.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interest-bearing: tenant entitled to 75% of annualized interest rate or 5% simple interest per year (whichever landlord chooses).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If commingled: landlord must post a surety bond.</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Return within 15 days (no deductions) or 30 days (with deductions + itemized notice).</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If landlord fails to give 30-day notice of deductions, landlord forfeits right to deduct.</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Tenant has 15 days to object to proposed deductions.</w:t>
      </w:r>
    </w:p>
    <w:p>
      <w:pPr>
        <w:pStyle w:val="Heading2"/>
        <w:pBdr>
          <w:bottom w:val="single" w:color="E97316" w:sz="1"/>
        </w:pBdr>
        <w:spacing w:before="300" w:after="120"/>
      </w:pPr>
      <w:r>
        <w:t xml:space="preserve">4. Required Disclosures</w:t>
      </w:r>
    </w:p>
    <w:p>
      <w:pPr>
        <w:spacing w:after="120"/>
      </w:pPr>
      <w:r>
        <w:rPr>
          <w:color w:val="1F2937"/>
          <w:sz w:val="21"/>
          <w:szCs w:val="21"/>
          <w:rFonts w:ascii="Calibri" w:cs="Calibri" w:eastAsia="Calibri" w:hAnsi="Calibri"/>
        </w:rPr>
        <w:t xml:space="preserve">REQUIRED RADON DISCLOSURE (must be included verbatim):</w:t>
      </w:r>
    </w:p>
    <w:p>
      <w:pPr>
        <w:spacing w:after="120"/>
      </w:pPr>
      <w:r>
        <w:rPr>
          <w:color w:val="1F2937"/>
          <w:sz w:val="21"/>
          <w:szCs w:val="21"/>
          <w:rFonts w:ascii="Calibri" w:cs="Calibri" w:eastAsia="Calibri" w:hAnsi="Calibri"/>
        </w:rPr>
        <w:t xml:space="preserve">"RADON GAS: Radon is a naturally occurring radioactive gas that, when it has accumulated in a building in sufficient quantities, may present health risks to persons who are exposed to it over time. Levels of radon that exceed federal and state guidelines have been found in buildings in Florida. Additional information regarding radon and radon testing may be obtained from your county health department."</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Radon gas disclosure (FL Stat. §404.056) — MANDATORY for all residential leases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Lead paint (pre-1978)</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Flood zone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Mold disclosure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Landlord contact / agent information</w:t>
      </w:r>
    </w:p>
    <w:p>
      <w:pPr>
        <w:pStyle w:val="Heading2"/>
        <w:pBdr>
          <w:bottom w:val="single" w:color="E97316" w:sz="1"/>
        </w:pBdr>
        <w:spacing w:before="300" w:after="120"/>
      </w:pPr>
      <w:r>
        <w:t xml:space="preserve">5.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Maintain premises in compliance with building, housing, and health codes.</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Maintain roof, windows, doors, floors, steps, porches, exterior walls, foundations, and all structural components.</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Maintain plumbing in reasonable working condition.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reasonable extermination when required.</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Maintain locks and keys.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garbage removal and outside receptacles.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Provide functioning smoke detectors.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Give 12 hours' notice before entry (FL Stat. §83.53).</w:t>
      </w:r>
    </w:p>
    <w:p>
      <w:pPr>
        <w:pStyle w:val="Heading2"/>
        <w:pBdr>
          <w:bottom w:val="single" w:color="E97316" w:sz="1"/>
        </w:pBdr>
        <w:spacing w:before="300" w:after="120"/>
      </w:pPr>
      <w:r>
        <w:t xml:space="preserve">6. Termination and Eviction</w:t>
      </w:r>
    </w:p>
    <w:p>
      <w:pPr>
        <w:spacing w:after="120"/>
      </w:pPr>
      <w:r>
        <w:rPr>
          <w:color w:val="1F2937"/>
          <w:sz w:val="21"/>
          <w:szCs w:val="21"/>
          <w:rFonts w:ascii="Calibri" w:cs="Calibri" w:eastAsia="Calibri" w:hAnsi="Calibri"/>
        </w:rPr>
        <w:t xml:space="preserve">Florida eviction timeline: 15–30 days typical (fast compared to most states). Filed in County Court. Tenant has 5 days to respond after summons.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shd w:fill="E97316" w:val="clear"/>
          </w:tcPr>
          <w:p>
            <w:pPr>
              <w:jc w:val="center"/>
            </w:pPr>
            <w:r>
              <w:rPr>
                <w:b/>
                <w:bCs/>
                <w:color w:val="FFFFFF"/>
                <w:sz w:val="19"/>
                <w:szCs w:val="19"/>
                <w:rFonts w:ascii="Calibri" w:cs="Calibri" w:eastAsia="Calibri" w:hAnsi="Calibri"/>
              </w:rPr>
              <w:t xml:space="preserve">Type</w:t>
            </w:r>
          </w:p>
        </w:tc>
        <w:tc>
          <w:tcPr>
            <w:tcW w:type="pct" w:w="33%"/>
            <w:shd w:fill="E97316" w:val="clear"/>
          </w:tcPr>
          <w:p>
            <w:pPr>
              <w:jc w:val="center"/>
            </w:pPr>
            <w:r>
              <w:rPr>
                <w:b/>
                <w:bCs/>
                <w:color w:val="FFFFFF"/>
                <w:sz w:val="19"/>
                <w:szCs w:val="19"/>
                <w:rFonts w:ascii="Calibri" w:cs="Calibri" w:eastAsia="Calibri" w:hAnsi="Calibri"/>
              </w:rPr>
              <w:t xml:space="preserve">Notice</w:t>
            </w:r>
          </w:p>
        </w:tc>
        <w:tc>
          <w:tcPr>
            <w:tcW w:type="pct" w:w="33%"/>
            <w:shd w:fill="E97316" w:val="clear"/>
          </w:tcPr>
          <w:p>
            <w:pPr>
              <w:jc w:val="center"/>
            </w:pPr>
            <w:r>
              <w:rPr>
                <w:b/>
                <w:bCs/>
                <w:color w:val="FFFFFF"/>
                <w:sz w:val="19"/>
                <w:szCs w:val="19"/>
                <w:rFonts w:ascii="Calibri" w:cs="Calibri" w:eastAsia="Calibri" w:hAnsi="Calibri"/>
              </w:rPr>
              <w:t xml:space="preserve">Details</w:t>
            </w:r>
          </w:p>
        </w:tc>
      </w:tr>
      <w:tr>
        <w:tc>
          <w:tcPr>
            <w:tcW w:type="pct" w:w="33%"/>
            <w:shd w:fill="F9FAFB" w:val="clear"/>
          </w:tcPr>
          <w:p>
            <w:r>
              <w:rPr>
                <w:color w:val="1F2937"/>
                <w:sz w:val="19"/>
                <w:szCs w:val="19"/>
                <w:rFonts w:ascii="Calibri" w:cs="Calibri" w:eastAsia="Calibri" w:hAnsi="Calibri"/>
              </w:rPr>
              <w:t xml:space="preserve">Non-payment</w:t>
            </w:r>
          </w:p>
        </w:tc>
        <w:tc>
          <w:tcPr>
            <w:tcW w:type="pct" w:w="33%"/>
            <w:shd w:fill="F9FAFB" w:val="clear"/>
          </w:tcPr>
          <w:p>
            <w:r>
              <w:rPr>
                <w:color w:val="1F2937"/>
                <w:sz w:val="19"/>
                <w:szCs w:val="19"/>
                <w:rFonts w:ascii="Calibri" w:cs="Calibri" w:eastAsia="Calibri" w:hAnsi="Calibri"/>
              </w:rPr>
              <w:t xml:space="preserve">3 days</w:t>
            </w:r>
          </w:p>
        </w:tc>
        <w:tc>
          <w:tcPr>
            <w:tcW w:type="pct" w:w="33%"/>
            <w:shd w:fill="F9FAFB" w:val="clear"/>
          </w:tcPr>
          <w:p>
            <w:r>
              <w:rPr>
                <w:color w:val="1F2937"/>
                <w:sz w:val="19"/>
                <w:szCs w:val="19"/>
                <w:rFonts w:ascii="Calibri" w:cs="Calibri" w:eastAsia="Calibri" w:hAnsi="Calibri"/>
              </w:rPr>
              <w:t xml:space="preserve">Written demand; tenant may pay to cure</w:t>
            </w:r>
          </w:p>
        </w:tc>
      </w:tr>
      <w:tr>
        <w:tc>
          <w:tcPr>
            <w:tcW w:type="pct" w:w="33%"/>
          </w:tcPr>
          <w:p>
            <w:r>
              <w:rPr>
                <w:color w:val="1F2937"/>
                <w:sz w:val="19"/>
                <w:szCs w:val="19"/>
                <w:rFonts w:ascii="Calibri" w:cs="Calibri" w:eastAsia="Calibri" w:hAnsi="Calibri"/>
              </w:rPr>
              <w:t xml:space="preserve">Lease violation (curable)</w:t>
            </w:r>
          </w:p>
        </w:tc>
        <w:tc>
          <w:tcPr>
            <w:tcW w:type="pct" w:w="33%"/>
          </w:tcPr>
          <w:p>
            <w:r>
              <w:rPr>
                <w:color w:val="1F2937"/>
                <w:sz w:val="19"/>
                <w:szCs w:val="19"/>
                <w:rFonts w:ascii="Calibri" w:cs="Calibri" w:eastAsia="Calibri" w:hAnsi="Calibri"/>
              </w:rPr>
              <w:t xml:space="preserve">7 days to cure</w:t>
            </w:r>
          </w:p>
        </w:tc>
        <w:tc>
          <w:tcPr>
            <w:tcW w:type="pct" w:w="33%"/>
          </w:tcPr>
          <w:p>
            <w:r>
              <w:rPr>
                <w:color w:val="1F2937"/>
                <w:sz w:val="19"/>
                <w:szCs w:val="19"/>
                <w:rFonts w:ascii="Calibri" w:cs="Calibri" w:eastAsia="Calibri" w:hAnsi="Calibri"/>
              </w:rPr>
              <w:t xml:space="preserve">Must specify violation and cure</w:t>
            </w:r>
          </w:p>
        </w:tc>
      </w:tr>
      <w:tr>
        <w:tc>
          <w:tcPr>
            <w:tcW w:type="pct" w:w="33%"/>
            <w:shd w:fill="F9FAFB" w:val="clear"/>
          </w:tcPr>
          <w:p>
            <w:r>
              <w:rPr>
                <w:color w:val="1F2937"/>
                <w:sz w:val="19"/>
                <w:szCs w:val="19"/>
                <w:rFonts w:ascii="Calibri" w:cs="Calibri" w:eastAsia="Calibri" w:hAnsi="Calibri"/>
              </w:rPr>
              <w:t xml:space="preserve">Lease violation (incurable)</w:t>
            </w:r>
          </w:p>
        </w:tc>
        <w:tc>
          <w:tcPr>
            <w:tcW w:type="pct" w:w="33%"/>
            <w:shd w:fill="F9FAFB" w:val="clear"/>
          </w:tcPr>
          <w:p>
            <w:r>
              <w:rPr>
                <w:color w:val="1F2937"/>
                <w:sz w:val="19"/>
                <w:szCs w:val="19"/>
                <w:rFonts w:ascii="Calibri" w:cs="Calibri" w:eastAsia="Calibri" w:hAnsi="Calibri"/>
              </w:rPr>
              <w:t xml:space="preserve">7 days</w:t>
            </w:r>
          </w:p>
        </w:tc>
        <w:tc>
          <w:tcPr>
            <w:tcW w:type="pct" w:w="33%"/>
            <w:shd w:fill="F9FAFB" w:val="clear"/>
          </w:tcPr>
          <w:p>
            <w:r>
              <w:rPr>
                <w:color w:val="1F2937"/>
                <w:sz w:val="19"/>
                <w:szCs w:val="19"/>
                <w:rFonts w:ascii="Calibri" w:cs="Calibri" w:eastAsia="Calibri" w:hAnsi="Calibri"/>
              </w:rPr>
              <w:t xml:space="preserve">Unconditional quit; no cure</w:t>
            </w:r>
          </w:p>
        </w:tc>
      </w:tr>
      <w:tr>
        <w:tc>
          <w:tcPr>
            <w:tcW w:type="pct" w:w="33%"/>
          </w:tcPr>
          <w:p>
            <w:r>
              <w:rPr>
                <w:color w:val="1F2937"/>
                <w:sz w:val="19"/>
                <w:szCs w:val="19"/>
                <w:rFonts w:ascii="Calibri" w:cs="Calibri" w:eastAsia="Calibri" w:hAnsi="Calibri"/>
              </w:rPr>
              <w:t xml:space="preserve">Month-to-month</w:t>
            </w:r>
          </w:p>
        </w:tc>
        <w:tc>
          <w:tcPr>
            <w:tcW w:type="pct" w:w="33%"/>
          </w:tcPr>
          <w:p>
            <w:r>
              <w:rPr>
                <w:color w:val="1F2937"/>
                <w:sz w:val="19"/>
                <w:szCs w:val="19"/>
                <w:rFonts w:ascii="Calibri" w:cs="Calibri" w:eastAsia="Calibri" w:hAnsi="Calibri"/>
              </w:rPr>
              <w:t xml:space="preserve">15 days</w:t>
            </w:r>
          </w:p>
        </w:tc>
        <w:tc>
          <w:tcPr>
            <w:tcW w:type="pct" w:w="33%"/>
          </w:tcPr>
          <w:p>
            <w:r>
              <w:rPr>
                <w:color w:val="1F2937"/>
                <w:sz w:val="19"/>
                <w:szCs w:val="19"/>
                <w:rFonts w:ascii="Calibri" w:cs="Calibri" w:eastAsia="Calibri" w:hAnsi="Calibri"/>
              </w:rPr>
              <w:t xml:space="preserve">Either party</w:t>
            </w:r>
          </w:p>
        </w:tc>
      </w:tr>
      <w:tr>
        <w:tc>
          <w:tcPr>
            <w:tcW w:type="pct" w:w="33%"/>
            <w:shd w:fill="F9FAFB" w:val="clear"/>
          </w:tcPr>
          <w:p>
            <w:r>
              <w:rPr>
                <w:color w:val="1F2937"/>
                <w:sz w:val="19"/>
                <w:szCs w:val="19"/>
                <w:rFonts w:ascii="Calibri" w:cs="Calibri" w:eastAsia="Calibri" w:hAnsi="Calibri"/>
              </w:rPr>
              <w:t xml:space="preserve">Quarter-to-quarter</w:t>
            </w:r>
          </w:p>
        </w:tc>
        <w:tc>
          <w:tcPr>
            <w:tcW w:type="pct" w:w="33%"/>
            <w:shd w:fill="F9FAFB" w:val="clear"/>
          </w:tcPr>
          <w:p>
            <w:r>
              <w:rPr>
                <w:color w:val="1F2937"/>
                <w:sz w:val="19"/>
                <w:szCs w:val="19"/>
                <w:rFonts w:ascii="Calibri" w:cs="Calibri" w:eastAsia="Calibri" w:hAnsi="Calibri"/>
              </w:rPr>
              <w:t xml:space="preserve">30 days</w:t>
            </w:r>
          </w:p>
        </w:tc>
        <w:tc>
          <w:tcPr>
            <w:tcW w:type="pct" w:w="33%"/>
            <w:shd w:fill="F9FAFB" w:val="clear"/>
          </w:tcPr>
          <w:p>
            <w:r>
              <w:rPr>
                <w:color w:val="1F2937"/>
                <w:sz w:val="19"/>
                <w:szCs w:val="19"/>
                <w:rFonts w:ascii="Calibri" w:cs="Calibri" w:eastAsia="Calibri" w:hAnsi="Calibri"/>
              </w:rPr>
              <w:t xml:space="preserve">Either party</w:t>
            </w:r>
          </w:p>
        </w:tc>
      </w:tr>
      <w:tr>
        <w:tc>
          <w:tcPr>
            <w:tcW w:type="pct" w:w="33%"/>
          </w:tcPr>
          <w:p>
            <w:r>
              <w:rPr>
                <w:color w:val="1F2937"/>
                <w:sz w:val="19"/>
                <w:szCs w:val="19"/>
                <w:rFonts w:ascii="Calibri" w:cs="Calibri" w:eastAsia="Calibri" w:hAnsi="Calibri"/>
              </w:rPr>
              <w:t xml:space="preserve">Year-to-year</w:t>
            </w:r>
          </w:p>
        </w:tc>
        <w:tc>
          <w:tcPr>
            <w:tcW w:type="pct" w:w="33%"/>
          </w:tcPr>
          <w:p>
            <w:r>
              <w:rPr>
                <w:color w:val="1F2937"/>
                <w:sz w:val="19"/>
                <w:szCs w:val="19"/>
                <w:rFonts w:ascii="Calibri" w:cs="Calibri" w:eastAsia="Calibri" w:hAnsi="Calibri"/>
              </w:rPr>
              <w:t xml:space="preserve">60 days</w:t>
            </w:r>
          </w:p>
        </w:tc>
        <w:tc>
          <w:tcPr>
            <w:tcW w:type="pct" w:w="33%"/>
          </w:tcPr>
          <w:p>
            <w:r>
              <w:rPr>
                <w:color w:val="1F2937"/>
                <w:sz w:val="19"/>
                <w:szCs w:val="19"/>
                <w:rFonts w:ascii="Calibri" w:cs="Calibri" w:eastAsia="Calibri" w:hAnsi="Calibri"/>
              </w:rPr>
              <w:t xml:space="preserve">Either party</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Military (SCRA) and domestic violence provisions allow early lease termination with proper documentation.</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template follows FL Statute 83. Procedural errors are costly in evictions. Have an attorney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2026-09-10T15:32:00.229Z</dcterms:created>
  <dcterms:modified xsi:type="dcterms:W3CDTF">2026-09-10T15:32:00.230Z</dcterms:modified>
</cp:coreProperties>
</file>

<file path=docProps/custom.xml><?xml version="1.0" encoding="utf-8"?>
<Properties xmlns="http://schemas.openxmlformats.org/officeDocument/2006/custom-properties" xmlns:vt="http://schemas.openxmlformats.org/officeDocument/2006/docPropsVTypes"/>
</file>