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jc w:val="center"/>
      </w:pPr>
      <w:r>
        <w:rPr>
          <w:b/>
          <w:bCs/>
          <w:color w:val="1F2937"/>
          <w:sz w:val="36"/>
          <w:szCs w:val="36"/>
          <w:rFonts w:ascii="Calibri" w:cs="Calibri" w:eastAsia="Calibri" w:hAnsi="Calibri"/>
        </w:rPr>
        <w:t xml:space="preserve">FLORIDA RESIDENTIAL LEASE AGREEMENT</w:t>
      </w:r>
    </w:p>
    <w:p>
      <w:pPr>
        <w:spacing w:after="200"/>
        <w:jc w:val="center"/>
      </w:pPr>
      <w:r>
        <w:rPr>
          <w:color w:val="6B7280"/>
          <w:sz w:val="22"/>
          <w:szCs w:val="22"/>
          <w:rFonts w:ascii="Calibri" w:cs="Calibri" w:eastAsia="Calibri" w:hAnsi="Calibri"/>
        </w:rPr>
        <w:t xml:space="preserve">Florida Statute 83 (Part II) Compliant</w:t>
      </w:r>
    </w:p>
    <w:p>
      <w:pPr>
        <w:spacing w:after="40"/>
      </w:pPr>
      <w:r>
        <w:rPr>
          <w:b/>
          <w:bCs/>
          <w:color w:val="1F2937"/>
          <w:sz w:val="20"/>
          <w:szCs w:val="20"/>
          <w:rFonts w:ascii="Calibri" w:cs="Calibri" w:eastAsia="Calibri" w:hAnsi="Calibri"/>
        </w:rPr>
        <w:t xml:space="preserve">Jurisdiction: </w:t>
      </w:r>
      <w:r>
        <w:rPr>
          <w:color w:val="6B7280"/>
          <w:sz w:val="20"/>
          <w:szCs w:val="20"/>
          <w:rFonts w:ascii="Calibri" w:cs="Calibri" w:eastAsia="Calibri" w:hAnsi="Calibri"/>
        </w:rPr>
        <w:t xml:space="preserve">Florida, USA</w:t>
      </w:r>
    </w:p>
    <w:p>
      <w:pPr>
        <w:spacing w:after="40"/>
      </w:pPr>
      <w:r>
        <w:rPr>
          <w:b/>
          <w:bCs/>
          <w:color w:val="1F2937"/>
          <w:sz w:val="20"/>
          <w:szCs w:val="20"/>
          <w:rFonts w:ascii="Calibri" w:cs="Calibri" w:eastAsia="Calibri" w:hAnsi="Calibri"/>
        </w:rPr>
        <w:t xml:space="preserve">Last Updated: </w:t>
      </w:r>
      <w:r>
        <w:rPr>
          <w:color w:val="6B7280"/>
          <w:sz w:val="20"/>
          <w:szCs w:val="20"/>
          <w:rFonts w:ascii="Calibri" w:cs="Calibri" w:eastAsia="Calibri" w:hAnsi="Calibri"/>
        </w:rPr>
        <w:t xml:space="preserve">March 2026</w:t>
      </w:r>
    </w:p>
    <w:p>
      <w:pPr>
        <w:spacing w:after="40"/>
      </w:pPr>
      <w:r>
        <w:rPr>
          <w:b/>
          <w:bCs/>
          <w:color w:val="1F2937"/>
          <w:sz w:val="20"/>
          <w:szCs w:val="20"/>
          <w:rFonts w:ascii="Calibri" w:cs="Calibri" w:eastAsia="Calibri" w:hAnsi="Calibri"/>
        </w:rPr>
        <w:t xml:space="preserve">Provided By: </w:t>
      </w:r>
      <w:r>
        <w:rPr>
          <w:color w:val="6B7280"/>
          <w:sz w:val="20"/>
          <w:szCs w:val="20"/>
          <w:rFonts w:ascii="Calibri" w:cs="Calibri" w:eastAsia="Calibri" w:hAnsi="Calibri"/>
        </w:rPr>
        <w:t xml:space="preserve">Leasense — www.leasense.com</w:t>
      </w:r>
    </w:p>
    <w:p>
      <w:pPr>
        <w:pBdr>
          <w:bottom w:val="single" w:color="E97316" w:sz="2"/>
        </w:pBdr>
        <w:spacing w:before="200" w:after="200"/>
      </w:pPr>
    </w:p>
    <w:p>
      <w:pPr>
        <w:pStyle w:val="Heading2"/>
        <w:pBdr>
          <w:bottom w:val="single" w:color="E97316" w:sz="1"/>
        </w:pBdr>
        <w:spacing w:before="300" w:after="120"/>
      </w:pPr>
      <w:r>
        <w:t xml:space="preserve">1. Parties and Property</w:t>
      </w:r>
    </w:p>
    <w:p>
      <w:pPr>
        <w:spacing w:after="80"/>
      </w:pPr>
      <w:r>
        <w:rPr>
          <w:b/>
          <w:bCs/>
          <w:color w:val="1F2937"/>
          <w:sz w:val="21"/>
          <w:szCs w:val="21"/>
          <w:rFonts w:ascii="Calibri" w:cs="Calibri" w:eastAsia="Calibri" w:hAnsi="Calibri"/>
        </w:rPr>
        <w:t xml:space="preserve">Date: </w:t>
      </w:r>
      <w:r>
        <w:rPr>
          <w:u w:val="single" w:color="E5E7EB"/>
          <w:color w:val="9CA3AF"/>
          <w:sz w:val="21"/>
          <w:szCs w:val="21"/>
          <w:rFonts w:ascii="Calibri" w:cs="Calibri" w:eastAsia="Calibri" w:hAnsi="Calibri"/>
        </w:rPr>
        <w:t xml:space="preserve">[____/____/________]</w:t>
      </w:r>
    </w:p>
    <w:p>
      <w:pPr>
        <w:spacing w:after="80"/>
      </w:pPr>
      <w:r>
        <w:rPr>
          <w:b/>
          <w:bCs/>
          <w:color w:val="1F2937"/>
          <w:sz w:val="21"/>
          <w:szCs w:val="21"/>
          <w:rFonts w:ascii="Calibri" w:cs="Calibri" w:eastAsia="Calibri" w:hAnsi="Calibri"/>
        </w:rPr>
        <w:t xml:space="preserve">Landlord: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Landlord Address (for service):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Tenant(s):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Property Address: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City / ZIP: </w:t>
      </w:r>
      <w:r>
        <w:rPr>
          <w:u w:val="single" w:color="E5E7EB"/>
          <w:color w:val="9CA3AF"/>
          <w:sz w:val="21"/>
          <w:szCs w:val="21"/>
          <w:rFonts w:ascii="Calibri" w:cs="Calibri" w:eastAsia="Calibri" w:hAnsi="Calibri"/>
        </w:rPr>
        <w:t xml:space="preserve">[_________________________________]</w:t>
      </w:r>
    </w:p>
    <w:p>
      <w:pPr>
        <w:pStyle w:val="Heading2"/>
        <w:pBdr>
          <w:bottom w:val="single" w:color="E97316" w:sz="1"/>
        </w:pBdr>
        <w:spacing w:before="300" w:after="120"/>
      </w:pPr>
      <w:r>
        <w:t xml:space="preserve">2. Term and Rent</w:t>
      </w:r>
    </w:p>
    <w:p>
      <w:pPr>
        <w:spacing w:after="120"/>
      </w:pPr>
      <w:r>
        <w:rPr>
          <w:color w:val="1F2937"/>
          <w:sz w:val="21"/>
          <w:szCs w:val="21"/>
          <w:rFonts w:ascii="Calibri" w:cs="Calibri" w:eastAsia="Calibri" w:hAnsi="Calibri"/>
        </w:rPr>
        <w:t xml:space="preserve">Florida has no statewide rent control. Municipalities may not enact rent control without voter referendum (FL Stat. §166.043).</w:t>
      </w:r>
    </w:p>
    <w:p>
      <w:pPr>
        <w:spacing w:after="80"/>
      </w:pPr>
      <w:r>
        <w:rPr>
          <w:b/>
          <w:bCs/>
          <w:color w:val="1F2937"/>
          <w:sz w:val="21"/>
          <w:szCs w:val="21"/>
          <w:rFonts w:ascii="Calibri" w:cs="Calibri" w:eastAsia="Calibri" w:hAnsi="Calibri"/>
        </w:rPr>
        <w:t xml:space="preserve">Start Date: </w:t>
      </w:r>
      <w:r>
        <w:rPr>
          <w:u w:val="single" w:color="E5E7EB"/>
          <w:color w:val="9CA3AF"/>
          <w:sz w:val="21"/>
          <w:szCs w:val="21"/>
          <w:rFonts w:ascii="Calibri" w:cs="Calibri" w:eastAsia="Calibri" w:hAnsi="Calibri"/>
        </w:rPr>
        <w:t xml:space="preserve">[____/____/________]</w:t>
      </w:r>
    </w:p>
    <w:p>
      <w:pPr>
        <w:spacing w:after="80"/>
      </w:pPr>
      <w:r>
        <w:rPr>
          <w:b/>
          <w:bCs/>
          <w:color w:val="1F2937"/>
          <w:sz w:val="21"/>
          <w:szCs w:val="21"/>
          <w:rFonts w:ascii="Calibri" w:cs="Calibri" w:eastAsia="Calibri" w:hAnsi="Calibri"/>
        </w:rPr>
        <w:t xml:space="preserve">End Date: </w:t>
      </w:r>
      <w:r>
        <w:rPr>
          <w:u w:val="single" w:color="E5E7EB"/>
          <w:color w:val="9CA3AF"/>
          <w:sz w:val="21"/>
          <w:szCs w:val="21"/>
          <w:rFonts w:ascii="Calibri" w:cs="Calibri" w:eastAsia="Calibri" w:hAnsi="Calibri"/>
        </w:rPr>
        <w:t xml:space="preserve">[____/____/________]</w:t>
      </w:r>
    </w:p>
    <w:p>
      <w:pPr>
        <w:spacing w:after="80"/>
      </w:pPr>
      <w:r>
        <w:rPr>
          <w:b/>
          <w:bCs/>
          <w:color w:val="1F2937"/>
          <w:sz w:val="21"/>
          <w:szCs w:val="21"/>
          <w:rFonts w:ascii="Calibri" w:cs="Calibri" w:eastAsia="Calibri" w:hAnsi="Calibri"/>
        </w:rPr>
        <w:t xml:space="preserve">Monthly Rent: </w:t>
      </w:r>
      <w:r>
        <w:rPr>
          <w:u w:val="single" w:color="E5E7EB"/>
          <w:color w:val="9CA3AF"/>
          <w:sz w:val="21"/>
          <w:szCs w:val="21"/>
          <w:rFonts w:ascii="Calibri" w:cs="Calibri" w:eastAsia="Calibri" w:hAnsi="Calibri"/>
        </w:rPr>
        <w:t xml:space="preserve">$[___________]</w:t>
      </w:r>
    </w:p>
    <w:p>
      <w:pPr>
        <w:spacing w:after="80"/>
      </w:pPr>
      <w:r>
        <w:rPr>
          <w:b/>
          <w:bCs/>
          <w:color w:val="1F2937"/>
          <w:sz w:val="21"/>
          <w:szCs w:val="21"/>
          <w:rFonts w:ascii="Calibri" w:cs="Calibri" w:eastAsia="Calibri" w:hAnsi="Calibri"/>
        </w:rPr>
        <w:t xml:space="preserve">Due Date: </w:t>
      </w:r>
      <w:r>
        <w:rPr>
          <w:u w:val="single" w:color="E5E7EB"/>
          <w:color w:val="9CA3AF"/>
          <w:sz w:val="21"/>
          <w:szCs w:val="21"/>
          <w:rFonts w:ascii="Calibri" w:cs="Calibri" w:eastAsia="Calibri" w:hAnsi="Calibri"/>
        </w:rPr>
        <w:t xml:space="preserve">[1st of month]</w:t>
      </w:r>
    </w:p>
    <w:p>
      <w:pPr>
        <w:spacing w:after="80"/>
      </w:pPr>
      <w:r>
        <w:rPr>
          <w:b/>
          <w:bCs/>
          <w:color w:val="1F2937"/>
          <w:sz w:val="21"/>
          <w:szCs w:val="21"/>
          <w:rFonts w:ascii="Calibri" w:cs="Calibri" w:eastAsia="Calibri" w:hAnsi="Calibri"/>
        </w:rPr>
        <w:t xml:space="preserve">Late Fee: </w:t>
      </w:r>
      <w:r>
        <w:rPr>
          <w:u w:val="single" w:color="E5E7EB"/>
          <w:color w:val="9CA3AF"/>
          <w:sz w:val="21"/>
          <w:szCs w:val="21"/>
          <w:rFonts w:ascii="Calibri" w:cs="Calibri" w:eastAsia="Calibri" w:hAnsi="Calibri"/>
        </w:rPr>
        <w:t xml:space="preserve">$[___________]</w:t>
      </w:r>
    </w:p>
    <w:p>
      <w:pPr>
        <w:spacing w:after="80"/>
      </w:pPr>
      <w:r>
        <w:rPr>
          <w:b/>
          <w:bCs/>
          <w:color w:val="1F2937"/>
          <w:sz w:val="21"/>
          <w:szCs w:val="21"/>
          <w:rFonts w:ascii="Calibri" w:cs="Calibri" w:eastAsia="Calibri" w:hAnsi="Calibri"/>
        </w:rPr>
        <w:t xml:space="preserve">NSF Fee: </w:t>
      </w:r>
      <w:r>
        <w:rPr>
          <w:u w:val="single" w:color="E5E7EB"/>
          <w:color w:val="9CA3AF"/>
          <w:sz w:val="21"/>
          <w:szCs w:val="21"/>
          <w:rFonts w:ascii="Calibri" w:cs="Calibri" w:eastAsia="Calibri" w:hAnsi="Calibri"/>
        </w:rPr>
        <w:t xml:space="preserve">$[___________]</w:t>
      </w:r>
    </w:p>
    <w:p>
      <w:pPr>
        <w:pStyle w:val="Heading2"/>
        <w:pBdr>
          <w:bottom w:val="single" w:color="E97316" w:sz="1"/>
        </w:pBdr>
        <w:spacing w:before="300" w:after="120"/>
      </w:pPr>
      <w:r>
        <w:t xml:space="preserve">3. Security Deposit</w:t>
      </w:r>
    </w:p>
    <w:p>
      <w:pPr>
        <w:spacing w:after="120"/>
      </w:pPr>
      <w:r>
        <w:rPr>
          <w:color w:val="1F2937"/>
          <w:sz w:val="21"/>
          <w:szCs w:val="21"/>
          <w:rFonts w:ascii="Calibri" w:cs="Calibri" w:eastAsia="Calibri" w:hAnsi="Calibri"/>
        </w:rPr>
        <w:t xml:space="preserve">FL Statute §83.49 — Security Deposit Notice Requirements:</w:t>
      </w:r>
    </w:p>
    <w:p>
      <w:pPr>
        <w:spacing w:after="80"/>
      </w:pPr>
      <w:r>
        <w:rPr>
          <w:b/>
          <w:bCs/>
          <w:color w:val="1F2937"/>
          <w:sz w:val="21"/>
          <w:szCs w:val="21"/>
          <w:rFonts w:ascii="Calibri" w:cs="Calibri" w:eastAsia="Calibri" w:hAnsi="Calibri"/>
        </w:rPr>
        <w:t xml:space="preserve">Deposit Amount: </w:t>
      </w:r>
      <w:r>
        <w:rPr>
          <w:u w:val="single" w:color="E5E7EB"/>
          <w:color w:val="9CA3AF"/>
          <w:sz w:val="21"/>
          <w:szCs w:val="21"/>
          <w:rFonts w:ascii="Calibri" w:cs="Calibri" w:eastAsia="Calibri" w:hAnsi="Calibri"/>
        </w:rPr>
        <w:t xml:space="preserve">$[___________]</w:t>
      </w:r>
    </w:p>
    <w:p>
      <w:pPr>
        <w:spacing w:after="80"/>
      </w:pPr>
      <w:r>
        <w:rPr>
          <w:b/>
          <w:bCs/>
          <w:color w:val="1F2937"/>
          <w:sz w:val="21"/>
          <w:szCs w:val="21"/>
          <w:rFonts w:ascii="Calibri" w:cs="Calibri" w:eastAsia="Calibri" w:hAnsi="Calibri"/>
        </w:rPr>
        <w:t xml:space="preserve">Holding Method: </w:t>
      </w:r>
      <w:r>
        <w:rPr>
          <w:u w:val="single" w:color="E5E7EB"/>
          <w:color w:val="9CA3AF"/>
          <w:sz w:val="21"/>
          <w:szCs w:val="21"/>
          <w:rFonts w:ascii="Calibri" w:cs="Calibri" w:eastAsia="Calibri" w:hAnsi="Calibri"/>
        </w:rPr>
        <w:t xml:space="preserve">[Separate non-interest / Separate interest / Surety bond]</w:t>
      </w:r>
    </w:p>
    <w:p>
      <w:pPr>
        <w:spacing w:after="80"/>
      </w:pPr>
      <w:r>
        <w:rPr>
          <w:b/>
          <w:bCs/>
          <w:color w:val="1F2937"/>
          <w:sz w:val="21"/>
          <w:szCs w:val="21"/>
          <w:rFonts w:ascii="Calibri" w:cs="Calibri" w:eastAsia="Calibri" w:hAnsi="Calibri"/>
        </w:rPr>
        <w:t xml:space="preserve">Bank Name: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Bank Address: </w:t>
      </w:r>
      <w:r>
        <w:rPr>
          <w:u w:val="single" w:color="E5E7EB"/>
          <w:color w:val="9CA3AF"/>
          <w:sz w:val="21"/>
          <w:szCs w:val="21"/>
          <w:rFonts w:ascii="Calibri" w:cs="Calibri" w:eastAsia="Calibri" w:hAnsi="Calibri"/>
        </w:rPr>
        <w:t xml:space="preserve">[_________________________________]</w:t>
      </w:r>
    </w:p>
    <w:p>
      <w:pPr>
        <w:spacing w:after="60"/>
        <w:ind w:left="360"/>
      </w:pPr>
      <w:r>
        <w:rPr>
          <w:b/>
          <w:bCs/>
          <w:color w:val="1F2937"/>
          <w:sz w:val="21"/>
          <w:szCs w:val="21"/>
          <w:rFonts w:ascii="Calibri" w:cs="Calibri" w:eastAsia="Calibri" w:hAnsi="Calibri"/>
        </w:rPr>
        <w:t xml:space="preserve">1. </w:t>
      </w:r>
      <w:r>
        <w:rPr>
          <w:color w:val="1F2937"/>
          <w:sz w:val="21"/>
          <w:szCs w:val="21"/>
          <w:rFonts w:ascii="Calibri" w:cs="Calibri" w:eastAsia="Calibri" w:hAnsi="Calibri"/>
        </w:rPr>
        <w:t xml:space="preserve">No statutory limit on deposit amount.</w:t>
      </w:r>
    </w:p>
    <w:p>
      <w:pPr>
        <w:spacing w:after="60"/>
        <w:ind w:left="360"/>
      </w:pPr>
      <w:r>
        <w:rPr>
          <w:b/>
          <w:bCs/>
          <w:color w:val="1F2937"/>
          <w:sz w:val="21"/>
          <w:szCs w:val="21"/>
          <w:rFonts w:ascii="Calibri" w:cs="Calibri" w:eastAsia="Calibri" w:hAnsi="Calibri"/>
        </w:rPr>
        <w:t xml:space="preserve">2. </w:t>
      </w:r>
      <w:r>
        <w:rPr>
          <w:color w:val="1F2937"/>
          <w:sz w:val="21"/>
          <w:szCs w:val="21"/>
          <w:rFonts w:ascii="Calibri" w:cs="Calibri" w:eastAsia="Calibri" w:hAnsi="Calibri"/>
        </w:rPr>
        <w:t xml:space="preserve">Within 30 days of receiving deposit, landlord must notify tenant IN WRITING of: bank name, bank address, whether deposit is held in interest-bearing or non-interest-bearing account.</w:t>
      </w:r>
    </w:p>
    <w:p>
      <w:pPr>
        <w:spacing w:after="60"/>
        <w:ind w:left="360"/>
      </w:pPr>
      <w:r>
        <w:rPr>
          <w:b/>
          <w:bCs/>
          <w:color w:val="1F2937"/>
          <w:sz w:val="21"/>
          <w:szCs w:val="21"/>
          <w:rFonts w:ascii="Calibri" w:cs="Calibri" w:eastAsia="Calibri" w:hAnsi="Calibri"/>
        </w:rPr>
        <w:t xml:space="preserve">3. </w:t>
      </w:r>
      <w:r>
        <w:rPr>
          <w:color w:val="1F2937"/>
          <w:sz w:val="21"/>
          <w:szCs w:val="21"/>
          <w:rFonts w:ascii="Calibri" w:cs="Calibri" w:eastAsia="Calibri" w:hAnsi="Calibri"/>
        </w:rPr>
        <w:t xml:space="preserve">If interest-bearing: tenant entitled to 75% of annualized interest rate or 5% simple interest per year (whichever landlord chooses).</w:t>
      </w:r>
    </w:p>
    <w:p>
      <w:pPr>
        <w:spacing w:after="60"/>
        <w:ind w:left="360"/>
      </w:pPr>
      <w:r>
        <w:rPr>
          <w:b/>
          <w:bCs/>
          <w:color w:val="1F2937"/>
          <w:sz w:val="21"/>
          <w:szCs w:val="21"/>
          <w:rFonts w:ascii="Calibri" w:cs="Calibri" w:eastAsia="Calibri" w:hAnsi="Calibri"/>
        </w:rPr>
        <w:t xml:space="preserve">4. </w:t>
      </w:r>
      <w:r>
        <w:rPr>
          <w:color w:val="1F2937"/>
          <w:sz w:val="21"/>
          <w:szCs w:val="21"/>
          <w:rFonts w:ascii="Calibri" w:cs="Calibri" w:eastAsia="Calibri" w:hAnsi="Calibri"/>
        </w:rPr>
        <w:t xml:space="preserve">If commingled: landlord must post a surety bond.</w:t>
      </w:r>
    </w:p>
    <w:p>
      <w:pPr>
        <w:spacing w:after="60"/>
        <w:ind w:left="360"/>
      </w:pPr>
      <w:r>
        <w:rPr>
          <w:b/>
          <w:bCs/>
          <w:color w:val="1F2937"/>
          <w:sz w:val="21"/>
          <w:szCs w:val="21"/>
          <w:rFonts w:ascii="Calibri" w:cs="Calibri" w:eastAsia="Calibri" w:hAnsi="Calibri"/>
        </w:rPr>
        <w:t xml:space="preserve">5. </w:t>
      </w:r>
      <w:r>
        <w:rPr>
          <w:color w:val="1F2937"/>
          <w:sz w:val="21"/>
          <w:szCs w:val="21"/>
          <w:rFonts w:ascii="Calibri" w:cs="Calibri" w:eastAsia="Calibri" w:hAnsi="Calibri"/>
        </w:rPr>
        <w:t xml:space="preserve">Return within 15 days (no deductions) or 30 days (with deductions + itemized notice).</w:t>
      </w:r>
    </w:p>
    <w:p>
      <w:pPr>
        <w:spacing w:after="60"/>
        <w:ind w:left="360"/>
      </w:pPr>
      <w:r>
        <w:rPr>
          <w:b/>
          <w:bCs/>
          <w:color w:val="1F2937"/>
          <w:sz w:val="21"/>
          <w:szCs w:val="21"/>
          <w:rFonts w:ascii="Calibri" w:cs="Calibri" w:eastAsia="Calibri" w:hAnsi="Calibri"/>
        </w:rPr>
        <w:t xml:space="preserve">6. </w:t>
      </w:r>
      <w:r>
        <w:rPr>
          <w:color w:val="1F2937"/>
          <w:sz w:val="21"/>
          <w:szCs w:val="21"/>
          <w:rFonts w:ascii="Calibri" w:cs="Calibri" w:eastAsia="Calibri" w:hAnsi="Calibri"/>
        </w:rPr>
        <w:t xml:space="preserve">If landlord fails to give 30-day notice of deductions, landlord forfeits right to deduct.</w:t>
      </w:r>
    </w:p>
    <w:p>
      <w:pPr>
        <w:spacing w:after="60"/>
        <w:ind w:left="360"/>
      </w:pPr>
      <w:r>
        <w:rPr>
          <w:b/>
          <w:bCs/>
          <w:color w:val="1F2937"/>
          <w:sz w:val="21"/>
          <w:szCs w:val="21"/>
          <w:rFonts w:ascii="Calibri" w:cs="Calibri" w:eastAsia="Calibri" w:hAnsi="Calibri"/>
        </w:rPr>
        <w:t xml:space="preserve">7. </w:t>
      </w:r>
      <w:r>
        <w:rPr>
          <w:color w:val="1F2937"/>
          <w:sz w:val="21"/>
          <w:szCs w:val="21"/>
          <w:rFonts w:ascii="Calibri" w:cs="Calibri" w:eastAsia="Calibri" w:hAnsi="Calibri"/>
        </w:rPr>
        <w:t xml:space="preserve">Tenant has 15 days to object to proposed deductions.</w:t>
      </w:r>
    </w:p>
    <w:p>
      <w:pPr>
        <w:pStyle w:val="Heading2"/>
        <w:pBdr>
          <w:bottom w:val="single" w:color="E97316" w:sz="1"/>
        </w:pBdr>
        <w:spacing w:before="300" w:after="120"/>
      </w:pPr>
      <w:r>
        <w:t xml:space="preserve">4. Required Disclosures</w:t>
      </w:r>
    </w:p>
    <w:p>
      <w:pPr>
        <w:spacing w:after="120"/>
      </w:pPr>
      <w:r>
        <w:rPr>
          <w:color w:val="1F2937"/>
          <w:sz w:val="21"/>
          <w:szCs w:val="21"/>
          <w:rFonts w:ascii="Calibri" w:cs="Calibri" w:eastAsia="Calibri" w:hAnsi="Calibri"/>
        </w:rPr>
        <w:t xml:space="preserve">REQUIRED RADON DISCLOSURE (must be included verbatim):</w:t>
      </w:r>
    </w:p>
    <w:p>
      <w:pPr>
        <w:spacing w:after="120"/>
      </w:pPr>
      <w:r>
        <w:rPr>
          <w:color w:val="1F2937"/>
          <w:sz w:val="21"/>
          <w:szCs w:val="21"/>
          <w:rFonts w:ascii="Calibri" w:cs="Calibri" w:eastAsia="Calibri" w:hAnsi="Calibri"/>
        </w:rPr>
        <w:t xml:space="preserve">"RADON GAS: Radon is a naturally occurring radioactive gas that, when it has accumulated in a building in sufficient quantities, may present health risks to persons who are exposed to it over time. Levels of radon that exceed federal and state guidelines have been found in buildings in Florida. Additional information regarding radon and radon testing may be obtained from your county health department."</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Radon gas disclosure (FL Stat. §404.056) — MANDATORY for all residential leases</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Lead paint (pre-1978)</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Flood zone disclosure</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Mold disclosure</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Landlord contact / agent information</w:t>
      </w:r>
    </w:p>
    <w:p>
      <w:pPr>
        <w:pStyle w:val="Heading2"/>
        <w:pBdr>
          <w:bottom w:val="single" w:color="E97316" w:sz="1"/>
        </w:pBdr>
        <w:spacing w:before="300" w:after="120"/>
      </w:pPr>
      <w:r>
        <w:t xml:space="preserve">5. Landlord Obligations</w:t>
      </w:r>
    </w:p>
    <w:p>
      <w:pPr>
        <w:spacing w:after="60"/>
        <w:ind w:left="360"/>
      </w:pPr>
      <w:r>
        <w:rPr>
          <w:b/>
          <w:bCs/>
          <w:color w:val="1F2937"/>
          <w:sz w:val="21"/>
          <w:szCs w:val="21"/>
          <w:rFonts w:ascii="Calibri" w:cs="Calibri" w:eastAsia="Calibri" w:hAnsi="Calibri"/>
        </w:rPr>
        <w:t xml:space="preserve">1. </w:t>
      </w:r>
      <w:r>
        <w:rPr>
          <w:color w:val="1F2937"/>
          <w:sz w:val="21"/>
          <w:szCs w:val="21"/>
          <w:rFonts w:ascii="Calibri" w:cs="Calibri" w:eastAsia="Calibri" w:hAnsi="Calibri"/>
        </w:rPr>
        <w:t xml:space="preserve">Maintain premises in compliance with building, housing, and health codes.</w:t>
      </w:r>
    </w:p>
    <w:p>
      <w:pPr>
        <w:spacing w:after="60"/>
        <w:ind w:left="360"/>
      </w:pPr>
      <w:r>
        <w:rPr>
          <w:b/>
          <w:bCs/>
          <w:color w:val="1F2937"/>
          <w:sz w:val="21"/>
          <w:szCs w:val="21"/>
          <w:rFonts w:ascii="Calibri" w:cs="Calibri" w:eastAsia="Calibri" w:hAnsi="Calibri"/>
        </w:rPr>
        <w:t xml:space="preserve">2. </w:t>
      </w:r>
      <w:r>
        <w:rPr>
          <w:color w:val="1F2937"/>
          <w:sz w:val="21"/>
          <w:szCs w:val="21"/>
          <w:rFonts w:ascii="Calibri" w:cs="Calibri" w:eastAsia="Calibri" w:hAnsi="Calibri"/>
        </w:rPr>
        <w:t xml:space="preserve">Maintain roof, windows, doors, floors, steps, porches, exterior walls, foundations, and all structural components.</w:t>
      </w:r>
    </w:p>
    <w:p>
      <w:pPr>
        <w:spacing w:after="60"/>
        <w:ind w:left="360"/>
      </w:pPr>
      <w:r>
        <w:rPr>
          <w:b/>
          <w:bCs/>
          <w:color w:val="1F2937"/>
          <w:sz w:val="21"/>
          <w:szCs w:val="21"/>
          <w:rFonts w:ascii="Calibri" w:cs="Calibri" w:eastAsia="Calibri" w:hAnsi="Calibri"/>
        </w:rPr>
        <w:t xml:space="preserve">3. </w:t>
      </w:r>
      <w:r>
        <w:rPr>
          <w:color w:val="1F2937"/>
          <w:sz w:val="21"/>
          <w:szCs w:val="21"/>
          <w:rFonts w:ascii="Calibri" w:cs="Calibri" w:eastAsia="Calibri" w:hAnsi="Calibri"/>
        </w:rPr>
        <w:t xml:space="preserve">Maintain plumbing in reasonable working condition.</w:t>
      </w:r>
    </w:p>
    <w:p>
      <w:pPr>
        <w:spacing w:after="60"/>
        <w:ind w:left="360"/>
      </w:pPr>
      <w:r>
        <w:rPr>
          <w:b/>
          <w:bCs/>
          <w:color w:val="1F2937"/>
          <w:sz w:val="21"/>
          <w:szCs w:val="21"/>
          <w:rFonts w:ascii="Calibri" w:cs="Calibri" w:eastAsia="Calibri" w:hAnsi="Calibri"/>
        </w:rPr>
        <w:t xml:space="preserve">4. </w:t>
      </w:r>
      <w:r>
        <w:rPr>
          <w:color w:val="1F2937"/>
          <w:sz w:val="21"/>
          <w:szCs w:val="21"/>
          <w:rFonts w:ascii="Calibri" w:cs="Calibri" w:eastAsia="Calibri" w:hAnsi="Calibri"/>
        </w:rPr>
        <w:t xml:space="preserve">Provide reasonable extermination when required.</w:t>
      </w:r>
    </w:p>
    <w:p>
      <w:pPr>
        <w:spacing w:after="60"/>
        <w:ind w:left="360"/>
      </w:pPr>
      <w:r>
        <w:rPr>
          <w:b/>
          <w:bCs/>
          <w:color w:val="1F2937"/>
          <w:sz w:val="21"/>
          <w:szCs w:val="21"/>
          <w:rFonts w:ascii="Calibri" w:cs="Calibri" w:eastAsia="Calibri" w:hAnsi="Calibri"/>
        </w:rPr>
        <w:t xml:space="preserve">5. </w:t>
      </w:r>
      <w:r>
        <w:rPr>
          <w:color w:val="1F2937"/>
          <w:sz w:val="21"/>
          <w:szCs w:val="21"/>
          <w:rFonts w:ascii="Calibri" w:cs="Calibri" w:eastAsia="Calibri" w:hAnsi="Calibri"/>
        </w:rPr>
        <w:t xml:space="preserve">Maintain locks and keys.</w:t>
      </w:r>
    </w:p>
    <w:p>
      <w:pPr>
        <w:spacing w:after="60"/>
        <w:ind w:left="360"/>
      </w:pPr>
      <w:r>
        <w:rPr>
          <w:b/>
          <w:bCs/>
          <w:color w:val="1F2937"/>
          <w:sz w:val="21"/>
          <w:szCs w:val="21"/>
          <w:rFonts w:ascii="Calibri" w:cs="Calibri" w:eastAsia="Calibri" w:hAnsi="Calibri"/>
        </w:rPr>
        <w:t xml:space="preserve">6. </w:t>
      </w:r>
      <w:r>
        <w:rPr>
          <w:color w:val="1F2937"/>
          <w:sz w:val="21"/>
          <w:szCs w:val="21"/>
          <w:rFonts w:ascii="Calibri" w:cs="Calibri" w:eastAsia="Calibri" w:hAnsi="Calibri"/>
        </w:rPr>
        <w:t xml:space="preserve">Provide garbage removal and outside receptacles.</w:t>
      </w:r>
    </w:p>
    <w:p>
      <w:pPr>
        <w:spacing w:after="60"/>
        <w:ind w:left="360"/>
      </w:pPr>
      <w:r>
        <w:rPr>
          <w:b/>
          <w:bCs/>
          <w:color w:val="1F2937"/>
          <w:sz w:val="21"/>
          <w:szCs w:val="21"/>
          <w:rFonts w:ascii="Calibri" w:cs="Calibri" w:eastAsia="Calibri" w:hAnsi="Calibri"/>
        </w:rPr>
        <w:t xml:space="preserve">7. </w:t>
      </w:r>
      <w:r>
        <w:rPr>
          <w:color w:val="1F2937"/>
          <w:sz w:val="21"/>
          <w:szCs w:val="21"/>
          <w:rFonts w:ascii="Calibri" w:cs="Calibri" w:eastAsia="Calibri" w:hAnsi="Calibri"/>
        </w:rPr>
        <w:t xml:space="preserve">Provide functioning smoke detectors.</w:t>
      </w:r>
    </w:p>
    <w:p>
      <w:pPr>
        <w:spacing w:after="60"/>
        <w:ind w:left="360"/>
      </w:pPr>
      <w:r>
        <w:rPr>
          <w:b/>
          <w:bCs/>
          <w:color w:val="1F2937"/>
          <w:sz w:val="21"/>
          <w:szCs w:val="21"/>
          <w:rFonts w:ascii="Calibri" w:cs="Calibri" w:eastAsia="Calibri" w:hAnsi="Calibri"/>
        </w:rPr>
        <w:t xml:space="preserve">8. </w:t>
      </w:r>
      <w:r>
        <w:rPr>
          <w:color w:val="1F2937"/>
          <w:sz w:val="21"/>
          <w:szCs w:val="21"/>
          <w:rFonts w:ascii="Calibri" w:cs="Calibri" w:eastAsia="Calibri" w:hAnsi="Calibri"/>
        </w:rPr>
        <w:t xml:space="preserve">Give 12 hours' notice before entry (FL Stat. §83.53).</w:t>
      </w:r>
    </w:p>
    <w:p>
      <w:pPr>
        <w:pStyle w:val="Heading2"/>
        <w:pBdr>
          <w:bottom w:val="single" w:color="E97316" w:sz="1"/>
        </w:pBdr>
        <w:spacing w:before="300" w:after="120"/>
      </w:pPr>
      <w:r>
        <w:t xml:space="preserve">6. Termination and Eviction</w:t>
      </w:r>
    </w:p>
    <w:p>
      <w:pPr>
        <w:spacing w:after="120"/>
      </w:pPr>
      <w:r>
        <w:rPr>
          <w:color w:val="1F2937"/>
          <w:sz w:val="21"/>
          <w:szCs w:val="21"/>
          <w:rFonts w:ascii="Calibri" w:cs="Calibri" w:eastAsia="Calibri" w:hAnsi="Calibri"/>
        </w:rPr>
        <w:t xml:space="preserve">Florida eviction timeline: 15–30 days typical (fast compared to most states). Filed in County Court. Tenant has 5 days to respond after summons.</w:t>
      </w:r>
    </w:p>
    <w:p>
      <w:pPr>
        <w:spacing w:before="8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3%"/>
            <w:shd w:fill="E97316" w:val="clear"/>
          </w:tcPr>
          <w:p>
            <w:pPr>
              <w:jc w:val="center"/>
            </w:pPr>
            <w:r>
              <w:rPr>
                <w:b/>
                <w:bCs/>
                <w:color w:val="FFFFFF"/>
                <w:sz w:val="19"/>
                <w:szCs w:val="19"/>
                <w:rFonts w:ascii="Calibri" w:cs="Calibri" w:eastAsia="Calibri" w:hAnsi="Calibri"/>
              </w:rPr>
              <w:t xml:space="preserve">Type</w:t>
            </w:r>
          </w:p>
        </w:tc>
        <w:tc>
          <w:tcPr>
            <w:tcW w:type="pct" w:w="33%"/>
            <w:shd w:fill="E97316" w:val="clear"/>
          </w:tcPr>
          <w:p>
            <w:pPr>
              <w:jc w:val="center"/>
            </w:pPr>
            <w:r>
              <w:rPr>
                <w:b/>
                <w:bCs/>
                <w:color w:val="FFFFFF"/>
                <w:sz w:val="19"/>
                <w:szCs w:val="19"/>
                <w:rFonts w:ascii="Calibri" w:cs="Calibri" w:eastAsia="Calibri" w:hAnsi="Calibri"/>
              </w:rPr>
              <w:t xml:space="preserve">Notice</w:t>
            </w:r>
          </w:p>
        </w:tc>
        <w:tc>
          <w:tcPr>
            <w:tcW w:type="pct" w:w="33%"/>
            <w:shd w:fill="E97316" w:val="clear"/>
          </w:tcPr>
          <w:p>
            <w:pPr>
              <w:jc w:val="center"/>
            </w:pPr>
            <w:r>
              <w:rPr>
                <w:b/>
                <w:bCs/>
                <w:color w:val="FFFFFF"/>
                <w:sz w:val="19"/>
                <w:szCs w:val="19"/>
                <w:rFonts w:ascii="Calibri" w:cs="Calibri" w:eastAsia="Calibri" w:hAnsi="Calibri"/>
              </w:rPr>
              <w:t xml:space="preserve">Details</w:t>
            </w:r>
          </w:p>
        </w:tc>
      </w:tr>
      <w:tr>
        <w:tc>
          <w:tcPr>
            <w:tcW w:type="pct" w:w="33%"/>
            <w:shd w:fill="F9FAFB" w:val="clear"/>
          </w:tcPr>
          <w:p>
            <w:r>
              <w:rPr>
                <w:color w:val="1F2937"/>
                <w:sz w:val="19"/>
                <w:szCs w:val="19"/>
                <w:rFonts w:ascii="Calibri" w:cs="Calibri" w:eastAsia="Calibri" w:hAnsi="Calibri"/>
              </w:rPr>
              <w:t xml:space="preserve">Non-payment</w:t>
            </w:r>
          </w:p>
        </w:tc>
        <w:tc>
          <w:tcPr>
            <w:tcW w:type="pct" w:w="33%"/>
            <w:shd w:fill="F9FAFB" w:val="clear"/>
          </w:tcPr>
          <w:p>
            <w:r>
              <w:rPr>
                <w:color w:val="1F2937"/>
                <w:sz w:val="19"/>
                <w:szCs w:val="19"/>
                <w:rFonts w:ascii="Calibri" w:cs="Calibri" w:eastAsia="Calibri" w:hAnsi="Calibri"/>
              </w:rPr>
              <w:t xml:space="preserve">3 days</w:t>
            </w:r>
          </w:p>
        </w:tc>
        <w:tc>
          <w:tcPr>
            <w:tcW w:type="pct" w:w="33%"/>
            <w:shd w:fill="F9FAFB" w:val="clear"/>
          </w:tcPr>
          <w:p>
            <w:r>
              <w:rPr>
                <w:color w:val="1F2937"/>
                <w:sz w:val="19"/>
                <w:szCs w:val="19"/>
                <w:rFonts w:ascii="Calibri" w:cs="Calibri" w:eastAsia="Calibri" w:hAnsi="Calibri"/>
              </w:rPr>
              <w:t xml:space="preserve">Written demand; tenant may pay to cure</w:t>
            </w:r>
          </w:p>
        </w:tc>
      </w:tr>
      <w:tr>
        <w:tc>
          <w:tcPr>
            <w:tcW w:type="pct" w:w="33%"/>
          </w:tcPr>
          <w:p>
            <w:r>
              <w:rPr>
                <w:color w:val="1F2937"/>
                <w:sz w:val="19"/>
                <w:szCs w:val="19"/>
                <w:rFonts w:ascii="Calibri" w:cs="Calibri" w:eastAsia="Calibri" w:hAnsi="Calibri"/>
              </w:rPr>
              <w:t xml:space="preserve">Lease violation (curable)</w:t>
            </w:r>
          </w:p>
        </w:tc>
        <w:tc>
          <w:tcPr>
            <w:tcW w:type="pct" w:w="33%"/>
          </w:tcPr>
          <w:p>
            <w:r>
              <w:rPr>
                <w:color w:val="1F2937"/>
                <w:sz w:val="19"/>
                <w:szCs w:val="19"/>
                <w:rFonts w:ascii="Calibri" w:cs="Calibri" w:eastAsia="Calibri" w:hAnsi="Calibri"/>
              </w:rPr>
              <w:t xml:space="preserve">7 days to cure</w:t>
            </w:r>
          </w:p>
        </w:tc>
        <w:tc>
          <w:tcPr>
            <w:tcW w:type="pct" w:w="33%"/>
          </w:tcPr>
          <w:p>
            <w:r>
              <w:rPr>
                <w:color w:val="1F2937"/>
                <w:sz w:val="19"/>
                <w:szCs w:val="19"/>
                <w:rFonts w:ascii="Calibri" w:cs="Calibri" w:eastAsia="Calibri" w:hAnsi="Calibri"/>
              </w:rPr>
              <w:t xml:space="preserve">Must specify violation and cure</w:t>
            </w:r>
          </w:p>
        </w:tc>
      </w:tr>
      <w:tr>
        <w:tc>
          <w:tcPr>
            <w:tcW w:type="pct" w:w="33%"/>
            <w:shd w:fill="F9FAFB" w:val="clear"/>
          </w:tcPr>
          <w:p>
            <w:r>
              <w:rPr>
                <w:color w:val="1F2937"/>
                <w:sz w:val="19"/>
                <w:szCs w:val="19"/>
                <w:rFonts w:ascii="Calibri" w:cs="Calibri" w:eastAsia="Calibri" w:hAnsi="Calibri"/>
              </w:rPr>
              <w:t xml:space="preserve">Lease violation (incurable)</w:t>
            </w:r>
          </w:p>
        </w:tc>
        <w:tc>
          <w:tcPr>
            <w:tcW w:type="pct" w:w="33%"/>
            <w:shd w:fill="F9FAFB" w:val="clear"/>
          </w:tcPr>
          <w:p>
            <w:r>
              <w:rPr>
                <w:color w:val="1F2937"/>
                <w:sz w:val="19"/>
                <w:szCs w:val="19"/>
                <w:rFonts w:ascii="Calibri" w:cs="Calibri" w:eastAsia="Calibri" w:hAnsi="Calibri"/>
              </w:rPr>
              <w:t xml:space="preserve">7 days</w:t>
            </w:r>
          </w:p>
        </w:tc>
        <w:tc>
          <w:tcPr>
            <w:tcW w:type="pct" w:w="33%"/>
            <w:shd w:fill="F9FAFB" w:val="clear"/>
          </w:tcPr>
          <w:p>
            <w:r>
              <w:rPr>
                <w:color w:val="1F2937"/>
                <w:sz w:val="19"/>
                <w:szCs w:val="19"/>
                <w:rFonts w:ascii="Calibri" w:cs="Calibri" w:eastAsia="Calibri" w:hAnsi="Calibri"/>
              </w:rPr>
              <w:t xml:space="preserve">Unconditional quit; no cure</w:t>
            </w:r>
          </w:p>
        </w:tc>
      </w:tr>
      <w:tr>
        <w:tc>
          <w:tcPr>
            <w:tcW w:type="pct" w:w="33%"/>
          </w:tcPr>
          <w:p>
            <w:r>
              <w:rPr>
                <w:color w:val="1F2937"/>
                <w:sz w:val="19"/>
                <w:szCs w:val="19"/>
                <w:rFonts w:ascii="Calibri" w:cs="Calibri" w:eastAsia="Calibri" w:hAnsi="Calibri"/>
              </w:rPr>
              <w:t xml:space="preserve">Month-to-month</w:t>
            </w:r>
          </w:p>
        </w:tc>
        <w:tc>
          <w:tcPr>
            <w:tcW w:type="pct" w:w="33%"/>
          </w:tcPr>
          <w:p>
            <w:r>
              <w:rPr>
                <w:color w:val="1F2937"/>
                <w:sz w:val="19"/>
                <w:szCs w:val="19"/>
                <w:rFonts w:ascii="Calibri" w:cs="Calibri" w:eastAsia="Calibri" w:hAnsi="Calibri"/>
              </w:rPr>
              <w:t xml:space="preserve">15 days</w:t>
            </w:r>
          </w:p>
        </w:tc>
        <w:tc>
          <w:tcPr>
            <w:tcW w:type="pct" w:w="33%"/>
          </w:tcPr>
          <w:p>
            <w:r>
              <w:rPr>
                <w:color w:val="1F2937"/>
                <w:sz w:val="19"/>
                <w:szCs w:val="19"/>
                <w:rFonts w:ascii="Calibri" w:cs="Calibri" w:eastAsia="Calibri" w:hAnsi="Calibri"/>
              </w:rPr>
              <w:t xml:space="preserve">Either party</w:t>
            </w:r>
          </w:p>
        </w:tc>
      </w:tr>
      <w:tr>
        <w:tc>
          <w:tcPr>
            <w:tcW w:type="pct" w:w="33%"/>
            <w:shd w:fill="F9FAFB" w:val="clear"/>
          </w:tcPr>
          <w:p>
            <w:r>
              <w:rPr>
                <w:color w:val="1F2937"/>
                <w:sz w:val="19"/>
                <w:szCs w:val="19"/>
                <w:rFonts w:ascii="Calibri" w:cs="Calibri" w:eastAsia="Calibri" w:hAnsi="Calibri"/>
              </w:rPr>
              <w:t xml:space="preserve">Quarter-to-quarter</w:t>
            </w:r>
          </w:p>
        </w:tc>
        <w:tc>
          <w:tcPr>
            <w:tcW w:type="pct" w:w="33%"/>
            <w:shd w:fill="F9FAFB" w:val="clear"/>
          </w:tcPr>
          <w:p>
            <w:r>
              <w:rPr>
                <w:color w:val="1F2937"/>
                <w:sz w:val="19"/>
                <w:szCs w:val="19"/>
                <w:rFonts w:ascii="Calibri" w:cs="Calibri" w:eastAsia="Calibri" w:hAnsi="Calibri"/>
              </w:rPr>
              <w:t xml:space="preserve">30 days</w:t>
            </w:r>
          </w:p>
        </w:tc>
        <w:tc>
          <w:tcPr>
            <w:tcW w:type="pct" w:w="33%"/>
            <w:shd w:fill="F9FAFB" w:val="clear"/>
          </w:tcPr>
          <w:p>
            <w:r>
              <w:rPr>
                <w:color w:val="1F2937"/>
                <w:sz w:val="19"/>
                <w:szCs w:val="19"/>
                <w:rFonts w:ascii="Calibri" w:cs="Calibri" w:eastAsia="Calibri" w:hAnsi="Calibri"/>
              </w:rPr>
              <w:t xml:space="preserve">Either party</w:t>
            </w:r>
          </w:p>
        </w:tc>
      </w:tr>
      <w:tr>
        <w:tc>
          <w:tcPr>
            <w:tcW w:type="pct" w:w="33%"/>
          </w:tcPr>
          <w:p>
            <w:r>
              <w:rPr>
                <w:color w:val="1F2937"/>
                <w:sz w:val="19"/>
                <w:szCs w:val="19"/>
                <w:rFonts w:ascii="Calibri" w:cs="Calibri" w:eastAsia="Calibri" w:hAnsi="Calibri"/>
              </w:rPr>
              <w:t xml:space="preserve">Year-to-year</w:t>
            </w:r>
          </w:p>
        </w:tc>
        <w:tc>
          <w:tcPr>
            <w:tcW w:type="pct" w:w="33%"/>
          </w:tcPr>
          <w:p>
            <w:r>
              <w:rPr>
                <w:color w:val="1F2937"/>
                <w:sz w:val="19"/>
                <w:szCs w:val="19"/>
                <w:rFonts w:ascii="Calibri" w:cs="Calibri" w:eastAsia="Calibri" w:hAnsi="Calibri"/>
              </w:rPr>
              <w:t xml:space="preserve">60 days</w:t>
            </w:r>
          </w:p>
        </w:tc>
        <w:tc>
          <w:tcPr>
            <w:tcW w:type="pct" w:w="33%"/>
          </w:tcPr>
          <w:p>
            <w:r>
              <w:rPr>
                <w:color w:val="1F2937"/>
                <w:sz w:val="19"/>
                <w:szCs w:val="19"/>
                <w:rFonts w:ascii="Calibri" w:cs="Calibri" w:eastAsia="Calibri" w:hAnsi="Calibri"/>
              </w:rPr>
              <w:t xml:space="preserve">Either party</w:t>
            </w:r>
          </w:p>
        </w:tc>
      </w:tr>
    </w:tbl>
    <w:p>
      <w:pPr>
        <w:spacing w:after="120"/>
      </w:pPr>
    </w:p>
    <w:p>
      <w:pPr>
        <w:shd w:fill="FFFBEB" w:val="clear"/>
        <w:spacing w:before="80" w:after="120"/>
      </w:pPr>
      <w:r>
        <w:rPr>
          <w:b/>
          <w:bCs/>
          <w:color w:val="92400E"/>
          <w:sz w:val="19"/>
          <w:szCs w:val="19"/>
          <w:rFonts w:ascii="Calibri" w:cs="Calibri" w:eastAsia="Calibri" w:hAnsi="Calibri"/>
        </w:rPr>
        <w:t xml:space="preserve">⚠ Note: </w:t>
      </w:r>
      <w:r>
        <w:rPr>
          <w:i/>
          <w:iCs/>
          <w:color w:val="92400E"/>
          <w:sz w:val="19"/>
          <w:szCs w:val="19"/>
          <w:rFonts w:ascii="Calibri" w:cs="Calibri" w:eastAsia="Calibri" w:hAnsi="Calibri"/>
        </w:rPr>
        <w:t xml:space="preserve">Military (SCRA) and domestic violence provisions allow early lease termination with proper documentation.</w:t>
      </w:r>
    </w:p>
    <w:p>
      <w:pPr>
        <w:pStyle w:val="Heading2"/>
        <w:pBdr>
          <w:bottom w:val="single" w:color="E97316" w:sz="1"/>
        </w:pBdr>
        <w:spacing w:before="300" w:after="120"/>
      </w:pPr>
      <w:r>
        <w:t xml:space="preserve">SIGNATURES</w:t>
      </w:r>
    </w:p>
    <w:p>
      <w:pPr>
        <w:spacing w:after="80"/>
      </w:pPr>
      <w:r>
        <w:rPr>
          <w:b/>
          <w:bCs/>
          <w:color w:val="1F2937"/>
          <w:sz w:val="21"/>
          <w:szCs w:val="21"/>
          <w:rFonts w:ascii="Calibri" w:cs="Calibri" w:eastAsia="Calibri" w:hAnsi="Calibri"/>
        </w:rPr>
        <w:t xml:space="preserve">Landlord Signature: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Date: </w:t>
      </w:r>
      <w:r>
        <w:rPr>
          <w:u w:val="single" w:color="E5E7EB"/>
          <w:color w:val="9CA3AF"/>
          <w:sz w:val="21"/>
          <w:szCs w:val="21"/>
          <w:rFonts w:ascii="Calibri" w:cs="Calibri" w:eastAsia="Calibri" w:hAnsi="Calibri"/>
        </w:rPr>
        <w:t xml:space="preserve">[____/____/________]</w:t>
      </w:r>
    </w:p>
    <w:p>
      <w:pPr>
        <w:spacing w:after="80"/>
      </w:pPr>
      <w:r>
        <w:rPr>
          <w:b/>
          <w:bCs/>
          <w:color w:val="1F2937"/>
          <w:sz w:val="21"/>
          <w:szCs w:val="21"/>
          <w:rFonts w:ascii="Calibri" w:cs="Calibri" w:eastAsia="Calibri" w:hAnsi="Calibri"/>
        </w:rPr>
        <w:t xml:space="preserve">Tenant Signature: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Date: </w:t>
      </w:r>
      <w:r>
        <w:rPr>
          <w:u w:val="single" w:color="E5E7EB"/>
          <w:color w:val="9CA3AF"/>
          <w:sz w:val="21"/>
          <w:szCs w:val="21"/>
          <w:rFonts w:ascii="Calibri" w:cs="Calibri" w:eastAsia="Calibri" w:hAnsi="Calibri"/>
        </w:rPr>
        <w:t xml:space="preserve">[____/____/________]</w:t>
      </w:r>
    </w:p>
    <w:p>
      <w:pPr>
        <w:spacing w:before="400" w:after="100"/>
        <w:jc w:val="center"/>
      </w:pPr>
      <w:r>
        <w:rPr>
          <w:b/>
          <w:bCs/>
          <w:color w:val="991B1B"/>
          <w:sz w:val="22"/>
          <w:szCs w:val="22"/>
          <w:rFonts w:ascii="Calibri" w:cs="Calibri" w:eastAsia="Calibri" w:hAnsi="Calibri"/>
        </w:rPr>
        <w:t xml:space="preserve">IMPORTANT DISCLAIMER</w:t>
      </w:r>
    </w:p>
    <w:p>
      <w:pPr>
        <w:shd w:fill="FEF2F2" w:val="clear"/>
        <w:spacing w:after="60"/>
        <w:jc w:val="center"/>
      </w:pPr>
      <w:r>
        <w:rPr>
          <w:i/>
          <w:iCs/>
          <w:color w:val="991B1B"/>
          <w:sz w:val="19"/>
          <w:szCs w:val="19"/>
          <w:rFonts w:ascii="Calibri" w:cs="Calibri" w:eastAsia="Calibri" w:hAnsi="Calibri"/>
        </w:rPr>
        <w:t xml:space="preserve">This template follows FL Statute 83. Procedural errors are costly in evictions. Have an attorney review.</w:t>
      </w:r>
    </w:p>
    <w:p>
      <w:pPr>
        <w:spacing w:after="200"/>
        <w:jc w:val="center"/>
      </w:pPr>
      <w:r>
        <w:rPr>
          <w:i/>
          <w:iCs/>
          <w:color w:val="6B7280"/>
          <w:sz w:val="18"/>
          <w:szCs w:val="18"/>
          <w:rFonts w:ascii="Calibri" w:cs="Calibri" w:eastAsia="Calibri" w:hAnsi="Calibri"/>
        </w:rPr>
        <w:t xml:space="preserve">This template is provided by Leasense (www.leasense.com) for general informational purposes only and does not constitute legal advice. Property laws vary significantly by jurisdiction and change frequently. Before using any legally binding document, consult a qualified legal professional in your area.</w:t>
      </w:r>
    </w:p>
    <w:sectPr>
      <w:headerReference w:type="default" r:id="rId6"/>
      <w:footerReference w:type="default" r:id="rId7"/>
      <w:pgSz w:w="11906" w:h="16838" w:orient="portrait"/>
      <w:pgMar w:top="1200" w:right="1200" w:bottom="12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5E7EB" w:sz="1"/>
      </w:pBdr>
      <w:spacing w:before="100"/>
      <w:jc w:val="center"/>
    </w:pPr>
    <w:r>
      <w:rPr>
        <w:color w:val="6B7280"/>
        <w:sz w:val="14"/>
        <w:szCs w:val="14"/>
        <w:rFonts w:ascii="Calibri" w:cs="Calibri" w:eastAsia="Calibri" w:hAnsi="Calibri"/>
      </w:rPr>
      <w:t xml:space="preserve">© Leasense — www.leasense.com — This template does not constitute legal advice.</w:t>
    </w:r>
    <w:r>
      <w:rPr>
        <w:color w:val="6B7280"/>
        <w:sz w:val="14"/>
        <w:szCs w:val="14"/>
        <w:rFonts w:ascii="Calibri" w:cs="Calibri" w:eastAsia="Calibri" w:hAnsi="Calibri"/>
      </w:rPr>
      <w:t xml:space="preserve">        Page </w:t>
    </w:r>
    <w:r>
      <w:rPr>
        <w:color w:val="6B7280"/>
        <w:sz w:val="14"/>
        <w:szCs w:val="14"/>
        <w:rFonts w:ascii="Calibri" w:cs="Calibri" w:eastAsia="Calibri" w:hAnsi="Calibri"/>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5E7EB" w:sz="1"/>
      </w:pBdr>
      <w:spacing w:after="100"/>
      <w:jc w:val="left"/>
    </w:pPr>
    <w:r>
      <w:rPr>
        <w:b/>
        <w:bCs/>
        <w:color w:val="E97316"/>
        <w:sz w:val="20"/>
        <w:szCs w:val="20"/>
        <w:rFonts w:ascii="Calibri" w:cs="Calibri" w:eastAsia="Calibri" w:hAnsi="Calibri"/>
      </w:rPr>
      <w:t xml:space="preserve">LEASENSE</w:t>
    </w:r>
    <w:r>
      <w:rPr>
        <w:color w:val="6B7280"/>
        <w:sz w:val="16"/>
        <w:szCs w:val="16"/>
        <w:rFonts w:ascii="Calibri" w:cs="Calibri" w:eastAsia="Calibri" w:hAnsi="Calibri"/>
      </w:rPr>
      <w:t xml:space="preserve">    Free Template — For informational purposes only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2026-10-25T16:15:46.667Z</dcterms:created>
  <dcterms:modified xsi:type="dcterms:W3CDTF">2026-10-25T16:15:46.667Z</dcterms:modified>
</cp:coreProperties>
</file>

<file path=docProps/custom.xml><?xml version="1.0" encoding="utf-8"?>
<Properties xmlns="http://schemas.openxmlformats.org/officeDocument/2006/custom-properties" xmlns:vt="http://schemas.openxmlformats.org/officeDocument/2006/docPropsVTypes"/>
</file>