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GEORGIA RESIDENTIAL LEASE AGREEMENT</w:t>
      </w:r>
    </w:p>
    <w:p>
      <w:pPr>
        <w:spacing w:after="200"/>
        <w:jc w:val="center"/>
      </w:pPr>
      <w:r>
        <w:rPr>
          <w:color w:val="6B7280"/>
          <w:sz w:val="22"/>
          <w:szCs w:val="22"/>
          <w:rFonts w:ascii="Calibri" w:cs="Calibri" w:eastAsia="Calibri" w:hAnsi="Calibri"/>
        </w:rPr>
        <w:t xml:space="preserve">Georgia Landlord-Tenant Handbook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Georgia,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Term and Rent</w:t>
      </w:r>
    </w:p>
    <w:p>
      <w:pPr>
        <w:spacing w:after="120"/>
      </w:pPr>
      <w:r>
        <w:rPr>
          <w:color w:val="1F2937"/>
          <w:sz w:val="21"/>
          <w:szCs w:val="21"/>
          <w:rFonts w:ascii="Calibri" w:cs="Calibri" w:eastAsia="Calibri" w:hAnsi="Calibri"/>
        </w:rPr>
        <w:t xml:space="preserve">Georgia has NO rent control.</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Security Deposit</w:t>
      </w:r>
    </w:p>
    <w:p>
      <w:pPr>
        <w:spacing w:after="120"/>
      </w:pPr>
      <w:r>
        <w:rPr>
          <w:color w:val="1F2937"/>
          <w:sz w:val="21"/>
          <w:szCs w:val="21"/>
          <w:rFonts w:ascii="Calibri" w:cs="Calibri" w:eastAsia="Calibri" w:hAnsi="Calibri"/>
        </w:rPr>
        <w:t xml:space="preserve">Georgia Code §44-7-30 through §44-7-37:</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No statutory cap on deposit amount (but must be reasonable).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Move-in inspection required within 3 business days of move-in. Failure to inspect weakens deposit claims.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must provide written list of pre-existing damage BEFORE collecting deposit.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Return within 30 days of lease termination.</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Must provide itemized statement of deductions.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If landlord fails: may be liable for 3× wrongfully withheld amount.</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Deposit must be held in an escrow account unless landlord owns 10+ units or hires a management company.</w:t>
      </w:r>
    </w:p>
    <w:p>
      <w:pPr>
        <w:pStyle w:val="Heading2"/>
        <w:pBdr>
          <w:bottom w:val="single" w:color="E97316" w:sz="1"/>
        </w:pBdr>
        <w:spacing w:before="300" w:after="120"/>
      </w:pPr>
      <w:r>
        <w:t xml:space="preserve">4. Move-In Inspection (MANDATORY)</w:t>
      </w:r>
    </w:p>
    <w:p>
      <w:pPr>
        <w:spacing w:after="120"/>
      </w:pPr>
      <w:r>
        <w:rPr>
          <w:color w:val="1F2937"/>
          <w:sz w:val="21"/>
          <w:szCs w:val="21"/>
          <w:rFonts w:ascii="Calibri" w:cs="Calibri" w:eastAsia="Calibri" w:hAnsi="Calibri"/>
        </w:rPr>
        <w:t xml:space="preserve">Georgia law requires a move-in inspection. Complete within 3 business days:</w:t>
      </w:r>
    </w:p>
    <w:p>
      <w:pPr>
        <w:spacing w:after="80"/>
      </w:pPr>
      <w:r>
        <w:rPr>
          <w:b/>
          <w:bCs/>
          <w:color w:val="1F2937"/>
          <w:sz w:val="21"/>
          <w:szCs w:val="21"/>
          <w:rFonts w:ascii="Calibri" w:cs="Calibri" w:eastAsia="Calibri" w:hAnsi="Calibri"/>
        </w:rPr>
        <w:t xml:space="preserve">Inspection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Area</w:t>
            </w:r>
          </w:p>
        </w:tc>
        <w:tc>
          <w:tcPr>
            <w:tcW w:type="pct" w:w="25%"/>
            <w:shd w:fill="E97316" w:val="clear"/>
          </w:tcPr>
          <w:p>
            <w:pPr>
              <w:jc w:val="center"/>
            </w:pPr>
            <w:r>
              <w:rPr>
                <w:b/>
                <w:bCs/>
                <w:color w:val="FFFFFF"/>
                <w:sz w:val="19"/>
                <w:szCs w:val="19"/>
                <w:rFonts w:ascii="Calibri" w:cs="Calibri" w:eastAsia="Calibri" w:hAnsi="Calibri"/>
              </w:rPr>
              <w:t xml:space="preserve">Condition</w:t>
            </w:r>
          </w:p>
        </w:tc>
        <w:tc>
          <w:tcPr>
            <w:tcW w:type="pct" w:w="25%"/>
            <w:shd w:fill="E97316" w:val="clear"/>
          </w:tcPr>
          <w:p>
            <w:pPr>
              <w:jc w:val="center"/>
            </w:pPr>
            <w:r>
              <w:rPr>
                <w:b/>
                <w:bCs/>
                <w:color w:val="FFFFFF"/>
                <w:sz w:val="19"/>
                <w:szCs w:val="19"/>
                <w:rFonts w:ascii="Calibri" w:cs="Calibri" w:eastAsia="Calibri" w:hAnsi="Calibri"/>
              </w:rPr>
              <w:t xml:space="preserve">Pre-Existing Damage</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Living Room</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Kitchen</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Bedroom(s)</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Bathroom(s)</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Exterior</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w:t>
            </w:r>
          </w:p>
        </w:tc>
      </w:tr>
    </w:tbl>
    <w:p>
      <w:pPr>
        <w:spacing w:after="120"/>
      </w:pPr>
    </w:p>
    <w:p>
      <w:pPr>
        <w:pStyle w:val="Heading2"/>
        <w:pBdr>
          <w:bottom w:val="single" w:color="E97316" w:sz="1"/>
        </w:pBdr>
        <w:spacing w:before="300" w:after="120"/>
      </w:pPr>
      <w:r>
        <w:t xml:space="preserve">5. Termination and Dispossessory</w:t>
      </w:r>
    </w:p>
    <w:p>
      <w:pPr>
        <w:spacing w:after="120"/>
      </w:pPr>
      <w:r>
        <w:rPr>
          <w:color w:val="1F2937"/>
          <w:sz w:val="21"/>
          <w:szCs w:val="21"/>
          <w:rFonts w:ascii="Calibri" w:cs="Calibri" w:eastAsia="Calibri" w:hAnsi="Calibri"/>
        </w:rPr>
        <w:t xml:space="preserve">Dispossessory (eviction) timeline: 3–4 weeks from filing in Magistrate Court. Writ of possession issued 7 days after judgment.</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Demand for possession (immediate)</w:t>
            </w:r>
          </w:p>
        </w:tc>
        <w:tc>
          <w:tcPr>
            <w:tcW w:type="pct" w:w="33%"/>
            <w:shd w:fill="F9FAFB" w:val="clear"/>
          </w:tcPr>
          <w:p>
            <w:r>
              <w:rPr>
                <w:color w:val="1F2937"/>
                <w:sz w:val="19"/>
                <w:szCs w:val="19"/>
                <w:rFonts w:ascii="Calibri" w:cs="Calibri" w:eastAsia="Calibri" w:hAnsi="Calibri"/>
              </w:rPr>
              <w:t xml:space="preserve">No cure period required</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Per lease terms</w:t>
            </w:r>
          </w:p>
        </w:tc>
        <w:tc>
          <w:tcPr>
            <w:tcW w:type="pct" w:w="33%"/>
          </w:tcPr>
          <w:p>
            <w:r>
              <w:rPr>
                <w:color w:val="1F2937"/>
                <w:sz w:val="19"/>
                <w:szCs w:val="19"/>
                <w:rFonts w:ascii="Calibri" w:cs="Calibri" w:eastAsia="Calibri" w:hAnsi="Calibri"/>
              </w:rPr>
              <w:t xml:space="preserve">Typically immediate or 3 days</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60 days</w:t>
            </w:r>
          </w:p>
        </w:tc>
        <w:tc>
          <w:tcPr>
            <w:tcW w:type="pct" w:w="33%"/>
            <w:shd w:fill="F9FAFB" w:val="clear"/>
          </w:tcPr>
          <w:p>
            <w:r>
              <w:rPr>
                <w:color w:val="1F2937"/>
                <w:sz w:val="19"/>
                <w:szCs w:val="19"/>
                <w:rFonts w:ascii="Calibri" w:cs="Calibri" w:eastAsia="Calibri" w:hAnsi="Calibri"/>
              </w:rPr>
              <w:t xml:space="preserve">Written notice</w:t>
            </w:r>
          </w:p>
        </w:tc>
      </w:tr>
      <w:tr>
        <w:tc>
          <w:tcPr>
            <w:tcW w:type="pct" w:w="33%"/>
          </w:tcPr>
          <w:p>
            <w:r>
              <w:rPr>
                <w:color w:val="1F2937"/>
                <w:sz w:val="19"/>
                <w:szCs w:val="19"/>
                <w:rFonts w:ascii="Calibri" w:cs="Calibri" w:eastAsia="Calibri" w:hAnsi="Calibri"/>
              </w:rPr>
              <w:t xml:space="preserve">Holdover</w:t>
            </w:r>
          </w:p>
        </w:tc>
        <w:tc>
          <w:tcPr>
            <w:tcW w:type="pct" w:w="33%"/>
          </w:tcPr>
          <w:p>
            <w:r>
              <w:rPr>
                <w:color w:val="1F2937"/>
                <w:sz w:val="19"/>
                <w:szCs w:val="19"/>
                <w:rFonts w:ascii="Calibri" w:cs="Calibri" w:eastAsia="Calibri" w:hAnsi="Calibri"/>
              </w:rPr>
              <w:t xml:space="preserve">Demand for possession</w:t>
            </w:r>
          </w:p>
        </w:tc>
        <w:tc>
          <w:tcPr>
            <w:tcW w:type="pct" w:w="33%"/>
          </w:tcPr>
          <w:p>
            <w:r>
              <w:rPr>
                <w:color w:val="1F2937"/>
                <w:sz w:val="19"/>
                <w:szCs w:val="19"/>
                <w:rFonts w:ascii="Calibri" w:cs="Calibri" w:eastAsia="Calibri" w:hAnsi="Calibri"/>
              </w:rPr>
              <w:t xml:space="preserve">File in Magistrate Court</w:t>
            </w:r>
          </w:p>
        </w:tc>
      </w:tr>
    </w:tbl>
    <w:p>
      <w:pPr>
        <w:spacing w:after="120"/>
      </w:pP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Georgia is landlord-friendly but move-in inspection is mandatory. Failure weakens deposit claims.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2026-06-12T10:17:00.490Z</dcterms:created>
  <dcterms:modified xsi:type="dcterms:W3CDTF">2026-06-12T10:17:00.490Z</dcterms:modified>
</cp:coreProperties>
</file>

<file path=docProps/custom.xml><?xml version="1.0" encoding="utf-8"?>
<Properties xmlns="http://schemas.openxmlformats.org/officeDocument/2006/custom-properties" xmlns:vt="http://schemas.openxmlformats.org/officeDocument/2006/docPropsVTypes"/>
</file>