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NEW YORK RESIDENTIAL LEASE AGREEMENT</w:t>
      </w:r>
    </w:p>
    <w:p>
      <w:pPr>
        <w:spacing w:after="200"/>
        <w:jc w:val="center"/>
      </w:pPr>
      <w:r>
        <w:rPr>
          <w:color w:val="6B7280"/>
          <w:sz w:val="22"/>
          <w:szCs w:val="22"/>
          <w:rFonts w:ascii="Calibri" w:cs="Calibri" w:eastAsia="Calibri" w:hAnsi="Calibri"/>
        </w:rPr>
        <w:t xml:space="preserve">HSTPA 2019 Compliant — Rent Stabilization Ready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New York,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Apartment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Borough (if NYC): </w:t>
      </w:r>
      <w:r>
        <w:rPr>
          <w:u w:val="single" w:color="E5E7EB"/>
          <w:color w:val="9CA3AF"/>
          <w:sz w:val="21"/>
          <w:szCs w:val="21"/>
          <w:rFonts w:ascii="Calibri" w:cs="Calibri" w:eastAsia="Calibri" w:hAnsi="Calibri"/>
        </w:rPr>
        <w:t xml:space="preserve">[Manhattan / Brooklyn / Queens / Bronx / Staten Island / N/A]</w:t>
      </w:r>
    </w:p>
    <w:p>
      <w:pPr>
        <w:pStyle w:val="Heading2"/>
        <w:pBdr>
          <w:bottom w:val="single" w:color="E97316" w:sz="1"/>
        </w:pBdr>
        <w:spacing w:before="300" w:after="120"/>
      </w:pPr>
      <w:r>
        <w:t xml:space="preserve">2. Term and Rent</w:t>
      </w:r>
    </w:p>
    <w:p>
      <w:pPr>
        <w:spacing w:after="80"/>
      </w:pPr>
      <w:r>
        <w:rPr>
          <w:b/>
          <w:bCs/>
          <w:color w:val="1F2937"/>
          <w:sz w:val="21"/>
          <w:szCs w:val="21"/>
          <w:rFonts w:ascii="Calibri" w:cs="Calibri" w:eastAsia="Calibri" w:hAnsi="Calibri"/>
        </w:rPr>
        <w:t xml:space="preserve">Lease Term: </w:t>
      </w:r>
      <w:r>
        <w:rPr>
          <w:u w:val="single" w:color="E5E7EB"/>
          <w:color w:val="9CA3AF"/>
          <w:sz w:val="21"/>
          <w:szCs w:val="21"/>
          <w:rFonts w:ascii="Calibri" w:cs="Calibri" w:eastAsia="Calibri" w:hAnsi="Calibri"/>
        </w:rPr>
        <w:t xml:space="preserve">[1 year / 2 years]</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Legal Regulated Rent (if stabilized):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Preferential Rent (if applicable):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 (max $50 or 5% of rent)</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HSTPA 2019, preferential rent becomes the base for future increases (no more reversion to legal regulated rent). RGB determines annual increases for stabilized units.</w:t>
      </w:r>
    </w:p>
    <w:p>
      <w:pPr>
        <w:pStyle w:val="Heading2"/>
        <w:pBdr>
          <w:bottom w:val="single" w:color="E97316" w:sz="1"/>
        </w:pBdr>
        <w:spacing w:before="300" w:after="120"/>
      </w:pPr>
      <w:r>
        <w:t xml:space="preserve">3. Rent Stabilization (if applicable)</w:t>
      </w:r>
    </w:p>
    <w:p>
      <w:pPr>
        <w:spacing w:after="120"/>
      </w:pPr>
      <w:r>
        <w:rPr>
          <w:color w:val="1F2937"/>
          <w:sz w:val="21"/>
          <w:szCs w:val="21"/>
          <w:rFonts w:ascii="Calibri" w:cs="Calibri" w:eastAsia="Calibri" w:hAnsi="Calibri"/>
        </w:rPr>
        <w:t xml:space="preserve">Under HSTPA 2019: vacancy decontrol eliminated; vacancy bonuses eliminated; Individual Apartment Improvements (IAI) capped at $15,000 over 15 years; Major Capital Improvements (MCI) capped at 2% annual increase.</w:t>
      </w:r>
    </w:p>
    <w:p>
      <w:pPr>
        <w:spacing w:after="80"/>
      </w:pPr>
      <w:r>
        <w:rPr>
          <w:b/>
          <w:bCs/>
          <w:color w:val="1F2937"/>
          <w:sz w:val="21"/>
          <w:szCs w:val="21"/>
          <w:rFonts w:ascii="Calibri" w:cs="Calibri" w:eastAsia="Calibri" w:hAnsi="Calibri"/>
        </w:rPr>
        <w:t xml:space="preserve">Is this unit rent-stabilized?: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DHCR Registration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Current RGB Order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RGB Increase (1-year):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RGB Increase (2-year): </w:t>
      </w:r>
      <w:r>
        <w:rPr>
          <w:u w:val="single" w:color="E5E7EB"/>
          <w:color w:val="9CA3AF"/>
          <w:sz w:val="21"/>
          <w:szCs w:val="21"/>
          <w:rFonts w:ascii="Calibri" w:cs="Calibri" w:eastAsia="Calibri" w:hAnsi="Calibri"/>
        </w:rPr>
        <w:t xml:space="preserve">[___]%</w:t>
      </w:r>
    </w:p>
    <w:p>
      <w:pPr>
        <w:pStyle w:val="Heading2"/>
        <w:pBdr>
          <w:bottom w:val="single" w:color="E97316" w:sz="1"/>
        </w:pBdr>
        <w:spacing w:before="300" w:after="120"/>
      </w:pPr>
      <w:r>
        <w:t xml:space="preserve">4. Security Deposit</w:t>
      </w:r>
    </w:p>
    <w:p>
      <w:pPr>
        <w:spacing w:after="120"/>
      </w:pPr>
      <w:r>
        <w:rPr>
          <w:color w:val="1F2937"/>
          <w:sz w:val="21"/>
          <w:szCs w:val="21"/>
          <w:rFonts w:ascii="Calibri" w:cs="Calibri" w:eastAsia="Calibri" w:hAnsi="Calibri"/>
        </w:rPr>
        <w:t xml:space="preserve">New York law (GOL §7-108, as amended by HSTPA 2019):</w:t>
      </w:r>
    </w:p>
    <w:p>
      <w:pPr>
        <w:spacing w:after="80"/>
      </w:pPr>
      <w:r>
        <w:rPr>
          <w:b/>
          <w:bCs/>
          <w:color w:val="1F2937"/>
          <w:sz w:val="21"/>
          <w:szCs w:val="21"/>
          <w:rFonts w:ascii="Calibri" w:cs="Calibri" w:eastAsia="Calibri" w:hAnsi="Calibri"/>
        </w:rPr>
        <w:t xml:space="preserve">Deposit Amount (max 1 month):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Maximum deposit: 1 month's rent (no additional pet deposits, last month's rent, or key deposits allowed).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held in a bank account in New York state.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provide tenant with the bank name, address, and deposit amount within receipt.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Deposit must be returned within 14 days of move-out with itemized deductions.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may not commingle deposit with personal funds.</w:t>
      </w:r>
    </w:p>
    <w:p>
      <w:pPr>
        <w:pStyle w:val="Heading2"/>
        <w:pBdr>
          <w:bottom w:val="single" w:color="E97316" w:sz="1"/>
        </w:pBdr>
        <w:spacing w:before="300" w:after="120"/>
      </w:pPr>
      <w:r>
        <w:t xml:space="preserve">5.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disclosure (pre-1978) + EPA pamphlet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Bedbug infestation history (past year)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Window guard notice (if child under 10)</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Rent history (stabilized units)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Sprinkler system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Air quality / smoking policy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Stove knob covers (if child under 6)</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zone disclosure (if applicable)</w:t>
      </w:r>
    </w:p>
    <w:p>
      <w:pPr>
        <w:pStyle w:val="Heading2"/>
        <w:pBdr>
          <w:bottom w:val="single" w:color="E97316" w:sz="1"/>
        </w:pBdr>
        <w:spacing w:before="300" w:after="120"/>
      </w:pPr>
      <w:r>
        <w:t xml:space="preserve">6. Lease Renewal (Stabilized Units)</w:t>
      </w:r>
    </w:p>
    <w:p>
      <w:pPr>
        <w:spacing w:after="120"/>
      </w:pPr>
      <w:r>
        <w:rPr>
          <w:color w:val="1F2937"/>
          <w:sz w:val="21"/>
          <w:szCs w:val="21"/>
          <w:rFonts w:ascii="Calibri" w:cs="Calibri" w:eastAsia="Calibri" w:hAnsi="Calibri"/>
        </w:rPr>
        <w:t xml:space="preserve">For rent-stabilized units, the landlord must offer renewal 150–90 days before lease expiration. The tenant has 60 days to accept. The tenant may choose a 1-year or 2-year renewal at the RGB-approved rate.</w:t>
      </w:r>
    </w:p>
    <w:p>
      <w:pPr>
        <w:pStyle w:val="Heading2"/>
        <w:pBdr>
          <w:bottom w:val="single" w:color="E97316" w:sz="1"/>
        </w:pBdr>
        <w:spacing w:before="300" w:after="120"/>
      </w:pPr>
      <w:r>
        <w:t xml:space="preserve">7. Tenant and Landlord Obligations</w:t>
      </w:r>
    </w:p>
    <w:p>
      <w:pPr>
        <w:spacing w:after="120"/>
      </w:pPr>
      <w:r>
        <w:rPr>
          <w:color w:val="1F2937"/>
          <w:sz w:val="21"/>
          <w:szCs w:val="21"/>
          <w:rFonts w:ascii="Calibri" w:cs="Calibri" w:eastAsia="Calibri" w:hAnsi="Calibri"/>
        </w:rPr>
        <w:t xml:space="preserve">Tenant obligations: pay rent on time, maintain unit, not disturb neighbours, provide access for repairs, not alter without consent.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Maintain habitable conditions (warranty of habitability, RPL §235-b).</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Provide heat (Oct 1 – May 31: 68°F day / 62°F night when outside temp &lt;55°F).</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Provide hot water (120°F minimum, 24/7).</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Make repairs within reasonable time.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Provide reasonable notice before entry (no specific statutory minimum, but 24 hours is standard).</w:t>
      </w:r>
    </w:p>
    <w:p>
      <w:pPr>
        <w:pStyle w:val="Heading2"/>
        <w:pBdr>
          <w:bottom w:val="single" w:color="E97316" w:sz="1"/>
        </w:pBdr>
        <w:spacing w:before="300" w:after="120"/>
      </w:pPr>
      <w:r>
        <w:t xml:space="preserve">8. Termination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Reason</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14 days (demand notice)</w:t>
            </w:r>
          </w:p>
        </w:tc>
        <w:tc>
          <w:tcPr>
            <w:tcW w:type="pct" w:w="33%"/>
            <w:shd w:fill="F9FAFB" w:val="clear"/>
          </w:tcPr>
          <w:p>
            <w:r>
              <w:rPr>
                <w:color w:val="1F2937"/>
                <w:sz w:val="19"/>
                <w:szCs w:val="19"/>
                <w:rFonts w:ascii="Calibri" w:cs="Calibri" w:eastAsia="Calibri" w:hAnsi="Calibri"/>
              </w:rPr>
              <w:t xml:space="preserve">Must demand rent before filing</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10 days to cure</w:t>
            </w:r>
          </w:p>
        </w:tc>
        <w:tc>
          <w:tcPr>
            <w:tcW w:type="pct" w:w="33%"/>
          </w:tcPr>
          <w:p>
            <w:r>
              <w:rPr>
                <w:color w:val="1F2937"/>
                <w:sz w:val="19"/>
                <w:szCs w:val="19"/>
                <w:rFonts w:ascii="Calibri" w:cs="Calibri" w:eastAsia="Calibri" w:hAnsi="Calibri"/>
              </w:rPr>
              <w:t xml:space="preserve">Written notice required</w:t>
            </w:r>
          </w:p>
        </w:tc>
      </w:tr>
      <w:tr>
        <w:tc>
          <w:tcPr>
            <w:tcW w:type="pct" w:w="33%"/>
            <w:shd w:fill="F9FAFB" w:val="clear"/>
          </w:tcPr>
          <w:p>
            <w:r>
              <w:rPr>
                <w:color w:val="1F2937"/>
                <w:sz w:val="19"/>
                <w:szCs w:val="19"/>
                <w:rFonts w:ascii="Calibri" w:cs="Calibri" w:eastAsia="Calibri" w:hAnsi="Calibri"/>
              </w:rPr>
              <w:t xml:space="preserve">Holdover (lease expired)</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For tenancies &lt;1 year</w:t>
            </w:r>
          </w:p>
        </w:tc>
      </w:tr>
      <w:tr>
        <w:tc>
          <w:tcPr>
            <w:tcW w:type="pct" w:w="33%"/>
          </w:tcPr>
          <w:p>
            <w:r>
              <w:rPr>
                <w:color w:val="1F2937"/>
                <w:sz w:val="19"/>
                <w:szCs w:val="19"/>
                <w:rFonts w:ascii="Calibri" w:cs="Calibri" w:eastAsia="Calibri" w:hAnsi="Calibri"/>
              </w:rPr>
              <w:t xml:space="preserve">Holdover (1+ years)</w:t>
            </w:r>
          </w:p>
        </w:tc>
        <w:tc>
          <w:tcPr>
            <w:tcW w:type="pct" w:w="33%"/>
          </w:tcPr>
          <w:p>
            <w:r>
              <w:rPr>
                <w:color w:val="1F2937"/>
                <w:sz w:val="19"/>
                <w:szCs w:val="19"/>
                <w:rFonts w:ascii="Calibri" w:cs="Calibri" w:eastAsia="Calibri" w:hAnsi="Calibri"/>
              </w:rPr>
              <w:t xml:space="preserve">90 days</w:t>
            </w:r>
          </w:p>
        </w:tc>
        <w:tc>
          <w:tcPr>
            <w:tcW w:type="pct" w:w="33%"/>
          </w:tcPr>
          <w:p>
            <w:r>
              <w:rPr>
                <w:color w:val="1F2937"/>
                <w:sz w:val="19"/>
                <w:szCs w:val="19"/>
                <w:rFonts w:ascii="Calibri" w:cs="Calibri" w:eastAsia="Calibri" w:hAnsi="Calibri"/>
              </w:rPr>
              <w:t xml:space="preserve">HSTPA extended notice</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30/60/90 days</w:t>
            </w:r>
          </w:p>
        </w:tc>
        <w:tc>
          <w:tcPr>
            <w:tcW w:type="pct" w:w="33%"/>
            <w:shd w:fill="F9FAFB" w:val="clear"/>
          </w:tcPr>
          <w:p>
            <w:r>
              <w:rPr>
                <w:color w:val="1F2937"/>
                <w:sz w:val="19"/>
                <w:szCs w:val="19"/>
                <w:rFonts w:ascii="Calibri" w:cs="Calibri" w:eastAsia="Calibri" w:hAnsi="Calibri"/>
              </w:rPr>
              <w:t xml:space="preserve">Based on duration</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NYC Housing Court handles eviction proceedings. Typical timeline: 3–6+ months. Never change locks or remove tenant property — this is an illegal lockout.</w:t>
      </w: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NYC rent stabilization is extremely complex. This template covers basics. Have an attorney review for rent-stabilized units. HSTPA 2019 eliminated vacancy decontrol and most landlord-friendly provisions.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2026-06-12T12:21:37.532Z</dcterms:created>
  <dcterms:modified xsi:type="dcterms:W3CDTF">2026-06-12T12:21:37.555Z</dcterms:modified>
</cp:coreProperties>
</file>

<file path=docProps/custom.xml><?xml version="1.0" encoding="utf-8"?>
<Properties xmlns="http://schemas.openxmlformats.org/officeDocument/2006/custom-properties" xmlns:vt="http://schemas.openxmlformats.org/officeDocument/2006/docPropsVTypes"/>
</file>