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PENNSYLVANIA RESIDENTIAL LEASE AGREEMENT</w:t>
      </w:r>
    </w:p>
    <w:p>
      <w:pPr>
        <w:spacing w:after="200"/>
        <w:jc w:val="center"/>
      </w:pPr>
      <w:r>
        <w:rPr>
          <w:color w:val="6B7280"/>
          <w:sz w:val="22"/>
          <w:szCs w:val="22"/>
          <w:rFonts w:ascii="Calibri" w:cs="Calibri" w:eastAsia="Calibri" w:hAnsi="Calibri"/>
        </w:rPr>
        <w:t xml:space="preserve">Landlord Tenant Act of 1951 — Escrow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Pennsylvania,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Philadelphia Rental Licence No. (if PHL):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2. Term and Rent</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 and Escrow</w:t>
      </w:r>
    </w:p>
    <w:p>
      <w:pPr>
        <w:spacing w:after="120"/>
      </w:pPr>
      <w:r>
        <w:rPr>
          <w:color w:val="1F2937"/>
          <w:sz w:val="21"/>
          <w:szCs w:val="21"/>
          <w:rFonts w:ascii="Calibri" w:cs="Calibri" w:eastAsia="Calibri" w:hAnsi="Calibri"/>
        </w:rPr>
        <w:t xml:space="preserve">PA Landlord Tenant Act of 1951 (68 P.S. §250.511a–250.512):</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Escrow Bank: </w:t>
      </w:r>
      <w:r>
        <w:rPr>
          <w:u w:val="single" w:color="E5E7EB"/>
          <w:color w:val="9CA3AF"/>
          <w:sz w:val="21"/>
          <w:szCs w:val="21"/>
          <w:rFonts w:ascii="Calibri" w:cs="Calibri" w:eastAsia="Calibri" w:hAnsi="Calibri"/>
        </w:rPr>
        <w:t xml:space="preserve">[_________________________________]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First year: max 2 months' rent. After first year: max 1 month's rent (excess must be returned).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placed in an escrow account in a PA-regulated banking institution.</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After 2 years in same unit, tenant may request deposit be applied to rent.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Return within 30 days of termination, with itemized deductions.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If landlord fails to return within 30 days: tenant may recover 2× deposit.</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Landlord must provide tenant with bank name, address, and account information.</w:t>
      </w:r>
    </w:p>
    <w:p>
      <w:pPr>
        <w:pStyle w:val="Heading2"/>
        <w:pBdr>
          <w:bottom w:val="single" w:color="E97316" w:sz="1"/>
        </w:pBdr>
        <w:spacing w:before="300" w:after="120"/>
      </w:pPr>
      <w:r>
        <w:t xml:space="preserve">4. Philadelphia Addendum</w:t>
      </w:r>
    </w:p>
    <w:p>
      <w:pPr>
        <w:spacing w:after="120"/>
      </w:pPr>
      <w:r>
        <w:rPr>
          <w:color w:val="1F2937"/>
          <w:sz w:val="21"/>
          <w:szCs w:val="21"/>
          <w:rFonts w:ascii="Calibri" w:cs="Calibri" w:eastAsia="Calibri" w:hAnsi="Calibri"/>
        </w:rPr>
        <w:t xml:space="preserve">If property is in Philadelphia:</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Rental licence obtained and number disclosed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Lead-free or lead-safe certification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Code compliance certificate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Philadelphia Fair Practices Ordinance compliance</w:t>
      </w:r>
    </w:p>
    <w:p>
      <w:pPr>
        <w:pStyle w:val="Heading2"/>
        <w:pBdr>
          <w:bottom w:val="single" w:color="E97316" w:sz="1"/>
        </w:pBdr>
        <w:spacing w:before="300" w:after="120"/>
      </w:pPr>
      <w:r>
        <w:t xml:space="preserve">5. Termination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10 days</w:t>
            </w:r>
          </w:p>
        </w:tc>
        <w:tc>
          <w:tcPr>
            <w:tcW w:type="pct" w:w="33%"/>
            <w:shd w:fill="F9FAFB" w:val="clear"/>
          </w:tcPr>
          <w:p>
            <w:r>
              <w:rPr>
                <w:color w:val="1F2937"/>
                <w:sz w:val="19"/>
                <w:szCs w:val="19"/>
                <w:rFonts w:ascii="Calibri" w:cs="Calibri" w:eastAsia="Calibri" w:hAnsi="Calibri"/>
              </w:rPr>
              <w:t xml:space="preserve">10-day notice required</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15 days</w:t>
            </w:r>
          </w:p>
        </w:tc>
        <w:tc>
          <w:tcPr>
            <w:tcW w:type="pct" w:w="33%"/>
          </w:tcPr>
          <w:p>
            <w:r>
              <w:rPr>
                <w:color w:val="1F2937"/>
                <w:sz w:val="19"/>
                <w:szCs w:val="19"/>
                <w:rFonts w:ascii="Calibri" w:cs="Calibri" w:eastAsia="Calibri" w:hAnsi="Calibri"/>
              </w:rPr>
              <w:t xml:space="preserve">15-day notice for violations (30 days in PHL)</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15 days</w:t>
            </w:r>
          </w:p>
        </w:tc>
        <w:tc>
          <w:tcPr>
            <w:tcW w:type="pct" w:w="33%"/>
            <w:shd w:fill="F9FAFB" w:val="clear"/>
          </w:tcPr>
          <w:p>
            <w:r>
              <w:rPr>
                <w:color w:val="1F2937"/>
                <w:sz w:val="19"/>
                <w:szCs w:val="19"/>
                <w:rFonts w:ascii="Calibri" w:cs="Calibri" w:eastAsia="Calibri" w:hAnsi="Calibri"/>
              </w:rPr>
              <w:t xml:space="preserve">Written notice</w:t>
            </w:r>
          </w:p>
        </w:tc>
      </w:tr>
      <w:tr>
        <w:tc>
          <w:tcPr>
            <w:tcW w:type="pct" w:w="33%"/>
          </w:tcPr>
          <w:p>
            <w:r>
              <w:rPr>
                <w:color w:val="1F2937"/>
                <w:sz w:val="19"/>
                <w:szCs w:val="19"/>
                <w:rFonts w:ascii="Calibri" w:cs="Calibri" w:eastAsia="Calibri" w:hAnsi="Calibri"/>
              </w:rPr>
              <w:t xml:space="preserve">Year-to-year</w:t>
            </w:r>
          </w:p>
        </w:tc>
        <w:tc>
          <w:tcPr>
            <w:tcW w:type="pct" w:w="33%"/>
          </w:tcPr>
          <w:p>
            <w:r>
              <w:rPr>
                <w:color w:val="1F2937"/>
                <w:sz w:val="19"/>
                <w:szCs w:val="19"/>
                <w:rFonts w:ascii="Calibri" w:cs="Calibri" w:eastAsia="Calibri" w:hAnsi="Calibri"/>
              </w:rPr>
              <w:t xml:space="preserve">30 days</w:t>
            </w:r>
          </w:p>
        </w:tc>
        <w:tc>
          <w:tcPr>
            <w:tcW w:type="pct" w:w="33%"/>
          </w:tcPr>
          <w:p>
            <w:r>
              <w:rPr>
                <w:color w:val="1F2937"/>
                <w:sz w:val="19"/>
                <w:szCs w:val="19"/>
                <w:rFonts w:ascii="Calibri" w:cs="Calibri" w:eastAsia="Calibri" w:hAnsi="Calibri"/>
              </w:rPr>
              <w:t xml:space="preserve">Before end of term</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PA requires deposits in escrow. Philadelphia has additional registration requirements. Have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2026-03-14T05:33:40.196Z</dcterms:created>
  <dcterms:modified xsi:type="dcterms:W3CDTF">2026-03-14T05:33:40.196Z</dcterms:modified>
</cp:coreProperties>
</file>

<file path=docProps/custom.xml><?xml version="1.0" encoding="utf-8"?>
<Properties xmlns="http://schemas.openxmlformats.org/officeDocument/2006/custom-properties" xmlns:vt="http://schemas.openxmlformats.org/officeDocument/2006/docPropsVTypes"/>
</file>