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b/>
          <w:bCs/>
          <w:color w:val="1F2937"/>
          <w:sz w:val="36"/>
          <w:szCs w:val="36"/>
          <w:rFonts w:ascii="Calibri" w:cs="Calibri" w:eastAsia="Calibri" w:hAnsi="Calibri"/>
        </w:rPr>
        <w:t xml:space="preserve">TEXAS RESIDENTIAL LEASE AGREEMENT</w:t>
      </w:r>
    </w:p>
    <w:p>
      <w:pPr>
        <w:spacing w:after="200"/>
        <w:jc w:val="center"/>
      </w:pPr>
      <w:r>
        <w:rPr>
          <w:color w:val="6B7280"/>
          <w:sz w:val="22"/>
          <w:szCs w:val="22"/>
          <w:rFonts w:ascii="Calibri" w:cs="Calibri" w:eastAsia="Calibri" w:hAnsi="Calibri"/>
        </w:rPr>
        <w:t xml:space="preserve">Texas Property Code Compliant</w:t>
      </w:r>
    </w:p>
    <w:p>
      <w:pPr>
        <w:spacing w:after="40"/>
      </w:pPr>
      <w:r>
        <w:rPr>
          <w:b/>
          <w:bCs/>
          <w:color w:val="1F2937"/>
          <w:sz w:val="20"/>
          <w:szCs w:val="20"/>
          <w:rFonts w:ascii="Calibri" w:cs="Calibri" w:eastAsia="Calibri" w:hAnsi="Calibri"/>
        </w:rPr>
        <w:t xml:space="preserve">Jurisdiction: </w:t>
      </w:r>
      <w:r>
        <w:rPr>
          <w:color w:val="6B7280"/>
          <w:sz w:val="20"/>
          <w:szCs w:val="20"/>
          <w:rFonts w:ascii="Calibri" w:cs="Calibri" w:eastAsia="Calibri" w:hAnsi="Calibri"/>
        </w:rPr>
        <w:t xml:space="preserve">Texas, USA</w:t>
      </w:r>
    </w:p>
    <w:p>
      <w:pPr>
        <w:spacing w:after="40"/>
      </w:pPr>
      <w:r>
        <w:rPr>
          <w:b/>
          <w:bCs/>
          <w:color w:val="1F2937"/>
          <w:sz w:val="20"/>
          <w:szCs w:val="20"/>
          <w:rFonts w:ascii="Calibri" w:cs="Calibri" w:eastAsia="Calibri" w:hAnsi="Calibri"/>
        </w:rPr>
        <w:t xml:space="preserve">Last Updated: </w:t>
      </w:r>
      <w:r>
        <w:rPr>
          <w:color w:val="6B7280"/>
          <w:sz w:val="20"/>
          <w:szCs w:val="20"/>
          <w:rFonts w:ascii="Calibri" w:cs="Calibri" w:eastAsia="Calibri" w:hAnsi="Calibri"/>
        </w:rPr>
        <w:t xml:space="preserve">March 2026</w:t>
      </w:r>
    </w:p>
    <w:p>
      <w:pPr>
        <w:spacing w:after="40"/>
      </w:pPr>
      <w:r>
        <w:rPr>
          <w:b/>
          <w:bCs/>
          <w:color w:val="1F2937"/>
          <w:sz w:val="20"/>
          <w:szCs w:val="20"/>
          <w:rFonts w:ascii="Calibri" w:cs="Calibri" w:eastAsia="Calibri" w:hAnsi="Calibri"/>
        </w:rPr>
        <w:t xml:space="preserve">Provided By: </w:t>
      </w:r>
      <w:r>
        <w:rPr>
          <w:color w:val="6B7280"/>
          <w:sz w:val="20"/>
          <w:szCs w:val="20"/>
          <w:rFonts w:ascii="Calibri" w:cs="Calibri" w:eastAsia="Calibri" w:hAnsi="Calibri"/>
        </w:rPr>
        <w:t xml:space="preserve">Leasense — www.leasense.com</w:t>
      </w:r>
    </w:p>
    <w:p>
      <w:pPr>
        <w:pBdr>
          <w:bottom w:val="single" w:color="E97316" w:sz="2"/>
        </w:pBdr>
        <w:spacing w:before="200" w:after="200"/>
      </w:pPr>
    </w:p>
    <w:p>
      <w:pPr>
        <w:pStyle w:val="Heading2"/>
        <w:pBdr>
          <w:bottom w:val="single" w:color="E97316" w:sz="1"/>
        </w:pBdr>
        <w:spacing w:before="300" w:after="120"/>
      </w:pPr>
      <w:r>
        <w:t xml:space="preserve">1. Parties and Property</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Landlord: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Landlord Address: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Tenant(s):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Property Address: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City / ZIP: </w:t>
      </w:r>
      <w:r>
        <w:rPr>
          <w:u w:val="single" w:color="E5E7EB"/>
          <w:color w:val="9CA3AF"/>
          <w:sz w:val="21"/>
          <w:szCs w:val="21"/>
          <w:rFonts w:ascii="Calibri" w:cs="Calibri" w:eastAsia="Calibri" w:hAnsi="Calibri"/>
        </w:rPr>
        <w:t xml:space="preserve">[_________________________________]</w:t>
      </w:r>
    </w:p>
    <w:p>
      <w:pPr>
        <w:pStyle w:val="Heading2"/>
        <w:pBdr>
          <w:bottom w:val="single" w:color="E97316" w:sz="1"/>
        </w:pBdr>
        <w:spacing w:before="300" w:after="120"/>
      </w:pPr>
      <w:r>
        <w:t xml:space="preserve">2. Term and Rent</w:t>
      </w:r>
    </w:p>
    <w:p>
      <w:pPr>
        <w:spacing w:after="120"/>
      </w:pPr>
      <w:r>
        <w:rPr>
          <w:color w:val="1F2937"/>
          <w:sz w:val="21"/>
          <w:szCs w:val="21"/>
          <w:rFonts w:ascii="Calibri" w:cs="Calibri" w:eastAsia="Calibri" w:hAnsi="Calibri"/>
        </w:rPr>
        <w:t xml:space="preserve">Texas has NO statewide rent control. Municipalities are prohibited from enacting rent control (TX Prop. Code §214.902).</w:t>
      </w:r>
    </w:p>
    <w:p>
      <w:pPr>
        <w:spacing w:after="80"/>
      </w:pPr>
      <w:r>
        <w:rPr>
          <w:b/>
          <w:bCs/>
          <w:color w:val="1F2937"/>
          <w:sz w:val="21"/>
          <w:szCs w:val="21"/>
          <w:rFonts w:ascii="Calibri" w:cs="Calibri" w:eastAsia="Calibri" w:hAnsi="Calibri"/>
        </w:rPr>
        <w:t xml:space="preserve">Start 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End 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Monthly Rent: </w:t>
      </w:r>
      <w:r>
        <w:rPr>
          <w:u w:val="single" w:color="E5E7EB"/>
          <w:color w:val="9CA3AF"/>
          <w:sz w:val="21"/>
          <w:szCs w:val="21"/>
          <w:rFonts w:ascii="Calibri" w:cs="Calibri" w:eastAsia="Calibri" w:hAnsi="Calibri"/>
        </w:rPr>
        <w:t xml:space="preserve">$[___________]</w:t>
      </w:r>
    </w:p>
    <w:p>
      <w:pPr>
        <w:spacing w:after="80"/>
      </w:pPr>
      <w:r>
        <w:rPr>
          <w:b/>
          <w:bCs/>
          <w:color w:val="1F2937"/>
          <w:sz w:val="21"/>
          <w:szCs w:val="21"/>
          <w:rFonts w:ascii="Calibri" w:cs="Calibri" w:eastAsia="Calibri" w:hAnsi="Calibri"/>
        </w:rPr>
        <w:t xml:space="preserve">Due Date: </w:t>
      </w:r>
      <w:r>
        <w:rPr>
          <w:u w:val="single" w:color="E5E7EB"/>
          <w:color w:val="9CA3AF"/>
          <w:sz w:val="21"/>
          <w:szCs w:val="21"/>
          <w:rFonts w:ascii="Calibri" w:cs="Calibri" w:eastAsia="Calibri" w:hAnsi="Calibri"/>
        </w:rPr>
        <w:t xml:space="preserve">[1st of month]</w:t>
      </w:r>
    </w:p>
    <w:p>
      <w:pPr>
        <w:spacing w:after="80"/>
      </w:pPr>
      <w:r>
        <w:rPr>
          <w:b/>
          <w:bCs/>
          <w:color w:val="1F2937"/>
          <w:sz w:val="21"/>
          <w:szCs w:val="21"/>
          <w:rFonts w:ascii="Calibri" w:cs="Calibri" w:eastAsia="Calibri" w:hAnsi="Calibri"/>
        </w:rPr>
        <w:t xml:space="preserve">Grace Period: </w:t>
      </w:r>
      <w:r>
        <w:rPr>
          <w:u w:val="single" w:color="E5E7EB"/>
          <w:color w:val="9CA3AF"/>
          <w:sz w:val="21"/>
          <w:szCs w:val="21"/>
          <w:rFonts w:ascii="Calibri" w:cs="Calibri" w:eastAsia="Calibri" w:hAnsi="Calibri"/>
        </w:rPr>
        <w:t xml:space="preserve">[___] days (not required by law)</w:t>
      </w:r>
    </w:p>
    <w:p>
      <w:pPr>
        <w:spacing w:after="80"/>
      </w:pPr>
      <w:r>
        <w:rPr>
          <w:b/>
          <w:bCs/>
          <w:color w:val="1F2937"/>
          <w:sz w:val="21"/>
          <w:szCs w:val="21"/>
          <w:rFonts w:ascii="Calibri" w:cs="Calibri" w:eastAsia="Calibri" w:hAnsi="Calibri"/>
        </w:rPr>
        <w:t xml:space="preserve">Late Fee: </w:t>
      </w:r>
      <w:r>
        <w:rPr>
          <w:u w:val="single" w:color="E5E7EB"/>
          <w:color w:val="9CA3AF"/>
          <w:sz w:val="21"/>
          <w:szCs w:val="21"/>
          <w:rFonts w:ascii="Calibri" w:cs="Calibri" w:eastAsia="Calibri" w:hAnsi="Calibri"/>
        </w:rPr>
        <w:t xml:space="preserve">$[___________] (must be reasonable)</w:t>
      </w:r>
    </w:p>
    <w:p>
      <w:pPr>
        <w:spacing w:after="80"/>
      </w:pPr>
      <w:r>
        <w:rPr>
          <w:b/>
          <w:bCs/>
          <w:color w:val="1F2937"/>
          <w:sz w:val="21"/>
          <w:szCs w:val="21"/>
          <w:rFonts w:ascii="Calibri" w:cs="Calibri" w:eastAsia="Calibri" w:hAnsi="Calibri"/>
        </w:rPr>
        <w:t xml:space="preserve">NSF Check Fee: </w:t>
      </w:r>
      <w:r>
        <w:rPr>
          <w:u w:val="single" w:color="E5E7EB"/>
          <w:color w:val="9CA3AF"/>
          <w:sz w:val="21"/>
          <w:szCs w:val="21"/>
          <w:rFonts w:ascii="Calibri" w:cs="Calibri" w:eastAsia="Calibri" w:hAnsi="Calibri"/>
        </w:rPr>
        <w:t xml:space="preserve">$[___________]</w:t>
      </w:r>
    </w:p>
    <w:p>
      <w:pPr>
        <w:pStyle w:val="Heading2"/>
        <w:pBdr>
          <w:bottom w:val="single" w:color="E97316" w:sz="1"/>
        </w:pBdr>
        <w:spacing w:before="300" w:after="120"/>
      </w:pPr>
      <w:r>
        <w:t xml:space="preserve">3. Security Deposit</w:t>
      </w:r>
    </w:p>
    <w:p>
      <w:pPr>
        <w:spacing w:after="120"/>
      </w:pPr>
      <w:r>
        <w:rPr>
          <w:color w:val="1F2937"/>
          <w:sz w:val="21"/>
          <w:szCs w:val="21"/>
          <w:rFonts w:ascii="Calibri" w:cs="Calibri" w:eastAsia="Calibri" w:hAnsi="Calibri"/>
        </w:rPr>
        <w:t xml:space="preserve">Texas Property Code §92.101–92.109:</w:t>
      </w:r>
    </w:p>
    <w:p>
      <w:pPr>
        <w:spacing w:after="80"/>
      </w:pPr>
      <w:r>
        <w:rPr>
          <w:b/>
          <w:bCs/>
          <w:color w:val="1F2937"/>
          <w:sz w:val="21"/>
          <w:szCs w:val="21"/>
          <w:rFonts w:ascii="Calibri" w:cs="Calibri" w:eastAsia="Calibri" w:hAnsi="Calibri"/>
        </w:rPr>
        <w:t xml:space="preserve">Deposit Amount: </w:t>
      </w:r>
      <w:r>
        <w:rPr>
          <w:u w:val="single" w:color="E5E7EB"/>
          <w:color w:val="9CA3AF"/>
          <w:sz w:val="21"/>
          <w:szCs w:val="21"/>
          <w:rFonts w:ascii="Calibri" w:cs="Calibri" w:eastAsia="Calibri" w:hAnsi="Calibri"/>
        </w:rPr>
        <w:t xml:space="preserve">$[___________]</w:t>
      </w:r>
    </w:p>
    <w:p>
      <w:pPr>
        <w:spacing w:after="60"/>
        <w:ind w:left="360"/>
      </w:pPr>
      <w:r>
        <w:rPr>
          <w:b/>
          <w:bCs/>
          <w:color w:val="1F2937"/>
          <w:sz w:val="21"/>
          <w:szCs w:val="21"/>
          <w:rFonts w:ascii="Calibri" w:cs="Calibri" w:eastAsia="Calibri" w:hAnsi="Calibri"/>
        </w:rPr>
        <w:t xml:space="preserve">1. </w:t>
      </w:r>
      <w:r>
        <w:rPr>
          <w:color w:val="1F2937"/>
          <w:sz w:val="21"/>
          <w:szCs w:val="21"/>
          <w:rFonts w:ascii="Calibri" w:cs="Calibri" w:eastAsia="Calibri" w:hAnsi="Calibri"/>
        </w:rPr>
        <w:t xml:space="preserve">No statutory limit on deposit amount (must be reasonable).</w:t>
      </w:r>
    </w:p>
    <w:p>
      <w:pPr>
        <w:spacing w:after="60"/>
        <w:ind w:left="360"/>
      </w:pPr>
      <w:r>
        <w:rPr>
          <w:b/>
          <w:bCs/>
          <w:color w:val="1F2937"/>
          <w:sz w:val="21"/>
          <w:szCs w:val="21"/>
          <w:rFonts w:ascii="Calibri" w:cs="Calibri" w:eastAsia="Calibri" w:hAnsi="Calibri"/>
        </w:rPr>
        <w:t xml:space="preserve">2. </w:t>
      </w:r>
      <w:r>
        <w:rPr>
          <w:color w:val="1F2937"/>
          <w:sz w:val="21"/>
          <w:szCs w:val="21"/>
          <w:rFonts w:ascii="Calibri" w:cs="Calibri" w:eastAsia="Calibri" w:hAnsi="Calibri"/>
        </w:rPr>
        <w:t xml:space="preserve">Must be returned within 30 days of move-out, with itemized deductions.</w:t>
      </w:r>
    </w:p>
    <w:p>
      <w:pPr>
        <w:spacing w:after="60"/>
        <w:ind w:left="360"/>
      </w:pPr>
      <w:r>
        <w:rPr>
          <w:b/>
          <w:bCs/>
          <w:color w:val="1F2937"/>
          <w:sz w:val="21"/>
          <w:szCs w:val="21"/>
          <w:rFonts w:ascii="Calibri" w:cs="Calibri" w:eastAsia="Calibri" w:hAnsi="Calibri"/>
        </w:rPr>
        <w:t xml:space="preserve">3. </w:t>
      </w:r>
      <w:r>
        <w:rPr>
          <w:color w:val="1F2937"/>
          <w:sz w:val="21"/>
          <w:szCs w:val="21"/>
          <w:rFonts w:ascii="Calibri" w:cs="Calibri" w:eastAsia="Calibri" w:hAnsi="Calibri"/>
        </w:rPr>
        <w:t xml:space="preserve">Tenant must provide forwarding address in writing.</w:t>
      </w:r>
    </w:p>
    <w:p>
      <w:pPr>
        <w:spacing w:after="60"/>
        <w:ind w:left="360"/>
      </w:pPr>
      <w:r>
        <w:rPr>
          <w:b/>
          <w:bCs/>
          <w:color w:val="1F2937"/>
          <w:sz w:val="21"/>
          <w:szCs w:val="21"/>
          <w:rFonts w:ascii="Calibri" w:cs="Calibri" w:eastAsia="Calibri" w:hAnsi="Calibri"/>
        </w:rPr>
        <w:t xml:space="preserve">4. </w:t>
      </w:r>
      <w:r>
        <w:rPr>
          <w:color w:val="1F2937"/>
          <w:sz w:val="21"/>
          <w:szCs w:val="21"/>
          <w:rFonts w:ascii="Calibri" w:cs="Calibri" w:eastAsia="Calibri" w:hAnsi="Calibri"/>
        </w:rPr>
        <w:t xml:space="preserve">If no forwarding address, deposit sent to last known address.</w:t>
      </w:r>
    </w:p>
    <w:p>
      <w:pPr>
        <w:spacing w:after="60"/>
        <w:ind w:left="360"/>
      </w:pPr>
      <w:r>
        <w:rPr>
          <w:b/>
          <w:bCs/>
          <w:color w:val="1F2937"/>
          <w:sz w:val="21"/>
          <w:szCs w:val="21"/>
          <w:rFonts w:ascii="Calibri" w:cs="Calibri" w:eastAsia="Calibri" w:hAnsi="Calibri"/>
        </w:rPr>
        <w:t xml:space="preserve">5. </w:t>
      </w:r>
      <w:r>
        <w:rPr>
          <w:color w:val="1F2937"/>
          <w:sz w:val="21"/>
          <w:szCs w:val="21"/>
          <w:rFonts w:ascii="Calibri" w:cs="Calibri" w:eastAsia="Calibri" w:hAnsi="Calibri"/>
        </w:rPr>
        <w:t xml:space="preserve">Landlord may deduct for: damages beyond wear and tear, unpaid rent, early termination costs, cleaning, and other lease breaches.</w:t>
      </w:r>
    </w:p>
    <w:p>
      <w:pPr>
        <w:spacing w:after="60"/>
        <w:ind w:left="360"/>
      </w:pPr>
      <w:r>
        <w:rPr>
          <w:b/>
          <w:bCs/>
          <w:color w:val="1F2937"/>
          <w:sz w:val="21"/>
          <w:szCs w:val="21"/>
          <w:rFonts w:ascii="Calibri" w:cs="Calibri" w:eastAsia="Calibri" w:hAnsi="Calibri"/>
        </w:rPr>
        <w:t xml:space="preserve">6. </w:t>
      </w:r>
      <w:r>
        <w:rPr>
          <w:color w:val="1F2937"/>
          <w:sz w:val="21"/>
          <w:szCs w:val="21"/>
          <w:rFonts w:ascii="Calibri" w:cs="Calibri" w:eastAsia="Calibri" w:hAnsi="Calibri"/>
        </w:rPr>
        <w:t xml:space="preserve">Bad faith retention: tenant may recover 3× wrongfully withheld amount + $100 + attorney fees.</w:t>
      </w:r>
    </w:p>
    <w:p>
      <w:pPr>
        <w:pStyle w:val="Heading2"/>
        <w:pBdr>
          <w:bottom w:val="single" w:color="E97316" w:sz="1"/>
        </w:pBdr>
        <w:spacing w:before="300" w:after="120"/>
      </w:pPr>
      <w:r>
        <w:t xml:space="preserve">4. Required Disclosures</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Lead paint (pre-1978)</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Flood plain disclosure (Prop. Code §92.0135) — if in 100-year flood plain</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Previous flooding disclosure (if previously flooded)</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Methamphetamine contamination (Health &amp; Safety Code §12.112)</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Landlord/agent contact information</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Parking rules (if applicable)</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Right to repair and deduct (for conditions materially affecting health/safety)</w:t>
      </w:r>
    </w:p>
    <w:p>
      <w:pPr>
        <w:pStyle w:val="Heading2"/>
        <w:pBdr>
          <w:bottom w:val="single" w:color="E97316" w:sz="1"/>
        </w:pBdr>
        <w:spacing w:before="300" w:after="120"/>
      </w:pPr>
      <w:r>
        <w:t xml:space="preserve">5. Tenant Obligations</w:t>
      </w:r>
    </w:p>
    <w:p>
      <w:pPr>
        <w:spacing w:after="60"/>
        <w:ind w:left="360"/>
      </w:pPr>
      <w:r>
        <w:rPr>
          <w:b/>
          <w:bCs/>
          <w:color w:val="1F2937"/>
          <w:sz w:val="21"/>
          <w:szCs w:val="21"/>
          <w:rFonts w:ascii="Calibri" w:cs="Calibri" w:eastAsia="Calibri" w:hAnsi="Calibri"/>
        </w:rPr>
        <w:t xml:space="preserve">1. </w:t>
      </w:r>
      <w:r>
        <w:rPr>
          <w:color w:val="1F2937"/>
          <w:sz w:val="21"/>
          <w:szCs w:val="21"/>
          <w:rFonts w:ascii="Calibri" w:cs="Calibri" w:eastAsia="Calibri" w:hAnsi="Calibri"/>
        </w:rPr>
        <w:t xml:space="preserve">Pay rent on time.</w:t>
      </w:r>
    </w:p>
    <w:p>
      <w:pPr>
        <w:spacing w:after="60"/>
        <w:ind w:left="360"/>
      </w:pPr>
      <w:r>
        <w:rPr>
          <w:b/>
          <w:bCs/>
          <w:color w:val="1F2937"/>
          <w:sz w:val="21"/>
          <w:szCs w:val="21"/>
          <w:rFonts w:ascii="Calibri" w:cs="Calibri" w:eastAsia="Calibri" w:hAnsi="Calibri"/>
        </w:rPr>
        <w:t xml:space="preserve">2. </w:t>
      </w:r>
      <w:r>
        <w:rPr>
          <w:color w:val="1F2937"/>
          <w:sz w:val="21"/>
          <w:szCs w:val="21"/>
          <w:rFonts w:ascii="Calibri" w:cs="Calibri" w:eastAsia="Calibri" w:hAnsi="Calibri"/>
        </w:rPr>
        <w:t xml:space="preserve">Keep premises clean and sanitary.</w:t>
      </w:r>
    </w:p>
    <w:p>
      <w:pPr>
        <w:spacing w:after="60"/>
        <w:ind w:left="360"/>
      </w:pPr>
      <w:r>
        <w:rPr>
          <w:b/>
          <w:bCs/>
          <w:color w:val="1F2937"/>
          <w:sz w:val="21"/>
          <w:szCs w:val="21"/>
          <w:rFonts w:ascii="Calibri" w:cs="Calibri" w:eastAsia="Calibri" w:hAnsi="Calibri"/>
        </w:rPr>
        <w:t xml:space="preserve">3. </w:t>
      </w:r>
      <w:r>
        <w:rPr>
          <w:color w:val="1F2937"/>
          <w:sz w:val="21"/>
          <w:szCs w:val="21"/>
          <w:rFonts w:ascii="Calibri" w:cs="Calibri" w:eastAsia="Calibri" w:hAnsi="Calibri"/>
        </w:rPr>
        <w:t xml:space="preserve">Comply with all applicable laws and codes.</w:t>
      </w:r>
    </w:p>
    <w:p>
      <w:pPr>
        <w:spacing w:after="60"/>
        <w:ind w:left="360"/>
      </w:pPr>
      <w:r>
        <w:rPr>
          <w:b/>
          <w:bCs/>
          <w:color w:val="1F2937"/>
          <w:sz w:val="21"/>
          <w:szCs w:val="21"/>
          <w:rFonts w:ascii="Calibri" w:cs="Calibri" w:eastAsia="Calibri" w:hAnsi="Calibri"/>
        </w:rPr>
        <w:t xml:space="preserve">4. </w:t>
      </w:r>
      <w:r>
        <w:rPr>
          <w:color w:val="1F2937"/>
          <w:sz w:val="21"/>
          <w:szCs w:val="21"/>
          <w:rFonts w:ascii="Calibri" w:cs="Calibri" w:eastAsia="Calibri" w:hAnsi="Calibri"/>
        </w:rPr>
        <w:t xml:space="preserve">Not engage in criminal activity on premises.</w:t>
      </w:r>
    </w:p>
    <w:p>
      <w:pPr>
        <w:spacing w:after="60"/>
        <w:ind w:left="360"/>
      </w:pPr>
      <w:r>
        <w:rPr>
          <w:b/>
          <w:bCs/>
          <w:color w:val="1F2937"/>
          <w:sz w:val="21"/>
          <w:szCs w:val="21"/>
          <w:rFonts w:ascii="Calibri" w:cs="Calibri" w:eastAsia="Calibri" w:hAnsi="Calibri"/>
        </w:rPr>
        <w:t xml:space="preserve">5. </w:t>
      </w:r>
      <w:r>
        <w:rPr>
          <w:color w:val="1F2937"/>
          <w:sz w:val="21"/>
          <w:szCs w:val="21"/>
          <w:rFonts w:ascii="Calibri" w:cs="Calibri" w:eastAsia="Calibri" w:hAnsi="Calibri"/>
        </w:rPr>
        <w:t xml:space="preserve">Not disturb neighbours.</w:t>
      </w:r>
    </w:p>
    <w:p>
      <w:pPr>
        <w:spacing w:after="60"/>
        <w:ind w:left="360"/>
      </w:pPr>
      <w:r>
        <w:rPr>
          <w:b/>
          <w:bCs/>
          <w:color w:val="1F2937"/>
          <w:sz w:val="21"/>
          <w:szCs w:val="21"/>
          <w:rFonts w:ascii="Calibri" w:cs="Calibri" w:eastAsia="Calibri" w:hAnsi="Calibri"/>
        </w:rPr>
        <w:t xml:space="preserve">6. </w:t>
      </w:r>
      <w:r>
        <w:rPr>
          <w:color w:val="1F2937"/>
          <w:sz w:val="21"/>
          <w:szCs w:val="21"/>
          <w:rFonts w:ascii="Calibri" w:cs="Calibri" w:eastAsia="Calibri" w:hAnsi="Calibri"/>
        </w:rPr>
        <w:t xml:space="preserve">Use fixtures properly.</w:t>
      </w:r>
    </w:p>
    <w:p>
      <w:pPr>
        <w:spacing w:after="60"/>
        <w:ind w:left="360"/>
      </w:pPr>
      <w:r>
        <w:rPr>
          <w:b/>
          <w:bCs/>
          <w:color w:val="1F2937"/>
          <w:sz w:val="21"/>
          <w:szCs w:val="21"/>
          <w:rFonts w:ascii="Calibri" w:cs="Calibri" w:eastAsia="Calibri" w:hAnsi="Calibri"/>
        </w:rPr>
        <w:t xml:space="preserve">7. </w:t>
      </w:r>
      <w:r>
        <w:rPr>
          <w:color w:val="1F2937"/>
          <w:sz w:val="21"/>
          <w:szCs w:val="21"/>
          <w:rFonts w:ascii="Calibri" w:cs="Calibri" w:eastAsia="Calibri" w:hAnsi="Calibri"/>
        </w:rPr>
        <w:t xml:space="preserve">Not make unauthorized alterations.</w:t>
      </w:r>
    </w:p>
    <w:p>
      <w:pPr>
        <w:spacing w:after="60"/>
        <w:ind w:left="360"/>
      </w:pPr>
      <w:r>
        <w:rPr>
          <w:b/>
          <w:bCs/>
          <w:color w:val="1F2937"/>
          <w:sz w:val="21"/>
          <w:szCs w:val="21"/>
          <w:rFonts w:ascii="Calibri" w:cs="Calibri" w:eastAsia="Calibri" w:hAnsi="Calibri"/>
        </w:rPr>
        <w:t xml:space="preserve">8. </w:t>
      </w:r>
      <w:r>
        <w:rPr>
          <w:color w:val="1F2937"/>
          <w:sz w:val="21"/>
          <w:szCs w:val="21"/>
          <w:rFonts w:ascii="Calibri" w:cs="Calibri" w:eastAsia="Calibri" w:hAnsi="Calibri"/>
        </w:rPr>
        <w:t xml:space="preserve">Provide notice of needed repairs.</w:t>
      </w:r>
    </w:p>
    <w:p>
      <w:pPr>
        <w:pStyle w:val="Heading2"/>
        <w:pBdr>
          <w:bottom w:val="single" w:color="E97316" w:sz="1"/>
        </w:pBdr>
        <w:spacing w:before="300" w:after="120"/>
      </w:pPr>
      <w:r>
        <w:t xml:space="preserve">6. Landlord Obligations</w:t>
      </w:r>
    </w:p>
    <w:p>
      <w:pPr>
        <w:spacing w:after="60"/>
        <w:ind w:left="360"/>
      </w:pPr>
      <w:r>
        <w:rPr>
          <w:b/>
          <w:bCs/>
          <w:color w:val="1F2937"/>
          <w:sz w:val="21"/>
          <w:szCs w:val="21"/>
          <w:rFonts w:ascii="Calibri" w:cs="Calibri" w:eastAsia="Calibri" w:hAnsi="Calibri"/>
        </w:rPr>
        <w:t xml:space="preserve">1. </w:t>
      </w:r>
      <w:r>
        <w:rPr>
          <w:color w:val="1F2937"/>
          <w:sz w:val="21"/>
          <w:szCs w:val="21"/>
          <w:rFonts w:ascii="Calibri" w:cs="Calibri" w:eastAsia="Calibri" w:hAnsi="Calibri"/>
        </w:rPr>
        <w:t xml:space="preserve">Maintain premises in habitable condition.</w:t>
      </w:r>
    </w:p>
    <w:p>
      <w:pPr>
        <w:spacing w:after="60"/>
        <w:ind w:left="360"/>
      </w:pPr>
      <w:r>
        <w:rPr>
          <w:b/>
          <w:bCs/>
          <w:color w:val="1F2937"/>
          <w:sz w:val="21"/>
          <w:szCs w:val="21"/>
          <w:rFonts w:ascii="Calibri" w:cs="Calibri" w:eastAsia="Calibri" w:hAnsi="Calibri"/>
        </w:rPr>
        <w:t xml:space="preserve">2. </w:t>
      </w:r>
      <w:r>
        <w:rPr>
          <w:color w:val="1F2937"/>
          <w:sz w:val="21"/>
          <w:szCs w:val="21"/>
          <w:rFonts w:ascii="Calibri" w:cs="Calibri" w:eastAsia="Calibri" w:hAnsi="Calibri"/>
        </w:rPr>
        <w:t xml:space="preserve">Make repairs within reasonable time after written notice (generally 7 days for conditions affecting health/safety).</w:t>
      </w:r>
    </w:p>
    <w:p>
      <w:pPr>
        <w:spacing w:after="60"/>
        <w:ind w:left="360"/>
      </w:pPr>
      <w:r>
        <w:rPr>
          <w:b/>
          <w:bCs/>
          <w:color w:val="1F2937"/>
          <w:sz w:val="21"/>
          <w:szCs w:val="21"/>
          <w:rFonts w:ascii="Calibri" w:cs="Calibri" w:eastAsia="Calibri" w:hAnsi="Calibri"/>
        </w:rPr>
        <w:t xml:space="preserve">3. </w:t>
      </w:r>
      <w:r>
        <w:rPr>
          <w:color w:val="1F2937"/>
          <w:sz w:val="21"/>
          <w:szCs w:val="21"/>
          <w:rFonts w:ascii="Calibri" w:cs="Calibri" w:eastAsia="Calibri" w:hAnsi="Calibri"/>
        </w:rPr>
        <w:t xml:space="preserve">Install smoke detectors (one per bedroom + one outside sleeping area).</w:t>
      </w:r>
    </w:p>
    <w:p>
      <w:pPr>
        <w:spacing w:after="60"/>
        <w:ind w:left="360"/>
      </w:pPr>
      <w:r>
        <w:rPr>
          <w:b/>
          <w:bCs/>
          <w:color w:val="1F2937"/>
          <w:sz w:val="21"/>
          <w:szCs w:val="21"/>
          <w:rFonts w:ascii="Calibri" w:cs="Calibri" w:eastAsia="Calibri" w:hAnsi="Calibri"/>
        </w:rPr>
        <w:t xml:space="preserve">4. </w:t>
      </w:r>
      <w:r>
        <w:rPr>
          <w:color w:val="1F2937"/>
          <w:sz w:val="21"/>
          <w:szCs w:val="21"/>
          <w:rFonts w:ascii="Calibri" w:cs="Calibri" w:eastAsia="Calibri" w:hAnsi="Calibri"/>
        </w:rPr>
        <w:t xml:space="preserve">Provide security devices: deadbolt on exterior doors, sliding door pin lock, window latches, peephole on exterior doors.</w:t>
      </w:r>
    </w:p>
    <w:p>
      <w:pPr>
        <w:spacing w:after="60"/>
        <w:ind w:left="360"/>
      </w:pPr>
      <w:r>
        <w:rPr>
          <w:b/>
          <w:bCs/>
          <w:color w:val="1F2937"/>
          <w:sz w:val="21"/>
          <w:szCs w:val="21"/>
          <w:rFonts w:ascii="Calibri" w:cs="Calibri" w:eastAsia="Calibri" w:hAnsi="Calibri"/>
        </w:rPr>
        <w:t xml:space="preserve">5. </w:t>
      </w:r>
      <w:r>
        <w:rPr>
          <w:color w:val="1F2937"/>
          <w:sz w:val="21"/>
          <w:szCs w:val="21"/>
          <w:rFonts w:ascii="Calibri" w:cs="Calibri" w:eastAsia="Calibri" w:hAnsi="Calibri"/>
        </w:rPr>
        <w:t xml:space="preserve">Rekey locks within 7 days of each new tenant (Prop. Code §92.156).</w:t>
      </w:r>
    </w:p>
    <w:p>
      <w:pPr>
        <w:spacing w:after="60"/>
        <w:ind w:left="360"/>
      </w:pPr>
      <w:r>
        <w:rPr>
          <w:b/>
          <w:bCs/>
          <w:color w:val="1F2937"/>
          <w:sz w:val="21"/>
          <w:szCs w:val="21"/>
          <w:rFonts w:ascii="Calibri" w:cs="Calibri" w:eastAsia="Calibri" w:hAnsi="Calibri"/>
        </w:rPr>
        <w:t xml:space="preserve">6. </w:t>
      </w:r>
      <w:r>
        <w:rPr>
          <w:color w:val="1F2937"/>
          <w:sz w:val="21"/>
          <w:szCs w:val="21"/>
          <w:rFonts w:ascii="Calibri" w:cs="Calibri" w:eastAsia="Calibri" w:hAnsi="Calibri"/>
        </w:rPr>
        <w:t xml:space="preserve">Provide 24-hour notice before entry (not statutory but standard practice).</w:t>
      </w:r>
    </w:p>
    <w:p>
      <w:pPr>
        <w:pStyle w:val="Heading2"/>
        <w:pBdr>
          <w:bottom w:val="single" w:color="E97316" w:sz="1"/>
        </w:pBdr>
        <w:spacing w:before="300" w:after="120"/>
      </w:pPr>
      <w:r>
        <w:t xml:space="preserve">7. Termination and Eviction</w:t>
      </w:r>
    </w:p>
    <w:p>
      <w:pPr>
        <w:spacing w:after="120"/>
      </w:pPr>
      <w:r>
        <w:rPr>
          <w:color w:val="1F2937"/>
          <w:sz w:val="21"/>
          <w:szCs w:val="21"/>
          <w:rFonts w:ascii="Calibri" w:cs="Calibri" w:eastAsia="Calibri" w:hAnsi="Calibri"/>
        </w:rPr>
        <w:t xml:space="preserve">Texas eviction (forcible detainer) filed in Justice Court. Timeline: typically 3–4 weeks from filing to writ of possession. Tenant may appeal to County Court (additional 8+ days).</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3%"/>
            <w:shd w:fill="E97316" w:val="clear"/>
          </w:tcPr>
          <w:p>
            <w:pPr>
              <w:jc w:val="center"/>
            </w:pPr>
            <w:r>
              <w:rPr>
                <w:b/>
                <w:bCs/>
                <w:color w:val="FFFFFF"/>
                <w:sz w:val="19"/>
                <w:szCs w:val="19"/>
                <w:rFonts w:ascii="Calibri" w:cs="Calibri" w:eastAsia="Calibri" w:hAnsi="Calibri"/>
              </w:rPr>
              <w:t xml:space="preserve">Type</w:t>
            </w:r>
          </w:p>
        </w:tc>
        <w:tc>
          <w:tcPr>
            <w:tcW w:type="pct" w:w="33%"/>
            <w:shd w:fill="E97316" w:val="clear"/>
          </w:tcPr>
          <w:p>
            <w:pPr>
              <w:jc w:val="center"/>
            </w:pPr>
            <w:r>
              <w:rPr>
                <w:b/>
                <w:bCs/>
                <w:color w:val="FFFFFF"/>
                <w:sz w:val="19"/>
                <w:szCs w:val="19"/>
                <w:rFonts w:ascii="Calibri" w:cs="Calibri" w:eastAsia="Calibri" w:hAnsi="Calibri"/>
              </w:rPr>
              <w:t xml:space="preserve">Notice</w:t>
            </w:r>
          </w:p>
        </w:tc>
        <w:tc>
          <w:tcPr>
            <w:tcW w:type="pct" w:w="33%"/>
            <w:shd w:fill="E97316" w:val="clear"/>
          </w:tcPr>
          <w:p>
            <w:pPr>
              <w:jc w:val="center"/>
            </w:pPr>
            <w:r>
              <w:rPr>
                <w:b/>
                <w:bCs/>
                <w:color w:val="FFFFFF"/>
                <w:sz w:val="19"/>
                <w:szCs w:val="19"/>
                <w:rFonts w:ascii="Calibri" w:cs="Calibri" w:eastAsia="Calibri" w:hAnsi="Calibri"/>
              </w:rPr>
              <w:t xml:space="preserve">Notes</w:t>
            </w:r>
          </w:p>
        </w:tc>
      </w:tr>
      <w:tr>
        <w:tc>
          <w:tcPr>
            <w:tcW w:type="pct" w:w="33%"/>
            <w:shd w:fill="F9FAFB" w:val="clear"/>
          </w:tcPr>
          <w:p>
            <w:r>
              <w:rPr>
                <w:color w:val="1F2937"/>
                <w:sz w:val="19"/>
                <w:szCs w:val="19"/>
                <w:rFonts w:ascii="Calibri" w:cs="Calibri" w:eastAsia="Calibri" w:hAnsi="Calibri"/>
              </w:rPr>
              <w:t xml:space="preserve">Non-payment</w:t>
            </w:r>
          </w:p>
        </w:tc>
        <w:tc>
          <w:tcPr>
            <w:tcW w:type="pct" w:w="33%"/>
            <w:shd w:fill="F9FAFB" w:val="clear"/>
          </w:tcPr>
          <w:p>
            <w:r>
              <w:rPr>
                <w:color w:val="1F2937"/>
                <w:sz w:val="19"/>
                <w:szCs w:val="19"/>
                <w:rFonts w:ascii="Calibri" w:cs="Calibri" w:eastAsia="Calibri" w:hAnsi="Calibri"/>
              </w:rPr>
              <w:t xml:space="preserve">3 days to vacate</w:t>
            </w:r>
          </w:p>
        </w:tc>
        <w:tc>
          <w:tcPr>
            <w:tcW w:type="pct" w:w="33%"/>
            <w:shd w:fill="F9FAFB" w:val="clear"/>
          </w:tcPr>
          <w:p>
            <w:r>
              <w:rPr>
                <w:color w:val="1F2937"/>
                <w:sz w:val="19"/>
                <w:szCs w:val="19"/>
                <w:rFonts w:ascii="Calibri" w:cs="Calibri" w:eastAsia="Calibri" w:hAnsi="Calibri"/>
              </w:rPr>
              <w:t xml:space="preserve">After demand, no cure right unless lease provides one</w:t>
            </w:r>
          </w:p>
        </w:tc>
      </w:tr>
      <w:tr>
        <w:tc>
          <w:tcPr>
            <w:tcW w:type="pct" w:w="33%"/>
          </w:tcPr>
          <w:p>
            <w:r>
              <w:rPr>
                <w:color w:val="1F2937"/>
                <w:sz w:val="19"/>
                <w:szCs w:val="19"/>
                <w:rFonts w:ascii="Calibri" w:cs="Calibri" w:eastAsia="Calibri" w:hAnsi="Calibri"/>
              </w:rPr>
              <w:t xml:space="preserve">Lease violation</w:t>
            </w:r>
          </w:p>
        </w:tc>
        <w:tc>
          <w:tcPr>
            <w:tcW w:type="pct" w:w="33%"/>
          </w:tcPr>
          <w:p>
            <w:r>
              <w:rPr>
                <w:color w:val="1F2937"/>
                <w:sz w:val="19"/>
                <w:szCs w:val="19"/>
                <w:rFonts w:ascii="Calibri" w:cs="Calibri" w:eastAsia="Calibri" w:hAnsi="Calibri"/>
              </w:rPr>
              <w:t xml:space="preserve">Per lease terms</w:t>
            </w:r>
          </w:p>
        </w:tc>
        <w:tc>
          <w:tcPr>
            <w:tcW w:type="pct" w:w="33%"/>
          </w:tcPr>
          <w:p>
            <w:r>
              <w:rPr>
                <w:color w:val="1F2937"/>
                <w:sz w:val="19"/>
                <w:szCs w:val="19"/>
                <w:rFonts w:ascii="Calibri" w:cs="Calibri" w:eastAsia="Calibri" w:hAnsi="Calibri"/>
              </w:rPr>
              <w:t xml:space="preserve">Typically 3-day notice</w:t>
            </w:r>
          </w:p>
        </w:tc>
      </w:tr>
      <w:tr>
        <w:tc>
          <w:tcPr>
            <w:tcW w:type="pct" w:w="33%"/>
            <w:shd w:fill="F9FAFB" w:val="clear"/>
          </w:tcPr>
          <w:p>
            <w:r>
              <w:rPr>
                <w:color w:val="1F2937"/>
                <w:sz w:val="19"/>
                <w:szCs w:val="19"/>
                <w:rFonts w:ascii="Calibri" w:cs="Calibri" w:eastAsia="Calibri" w:hAnsi="Calibri"/>
              </w:rPr>
              <w:t xml:space="preserve">Month-to-month</w:t>
            </w:r>
          </w:p>
        </w:tc>
        <w:tc>
          <w:tcPr>
            <w:tcW w:type="pct" w:w="33%"/>
            <w:shd w:fill="F9FAFB" w:val="clear"/>
          </w:tcPr>
          <w:p>
            <w:r>
              <w:rPr>
                <w:color w:val="1F2937"/>
                <w:sz w:val="19"/>
                <w:szCs w:val="19"/>
                <w:rFonts w:ascii="Calibri" w:cs="Calibri" w:eastAsia="Calibri" w:hAnsi="Calibri"/>
              </w:rPr>
              <w:t xml:space="preserve">30 days</w:t>
            </w:r>
          </w:p>
        </w:tc>
        <w:tc>
          <w:tcPr>
            <w:tcW w:type="pct" w:w="33%"/>
            <w:shd w:fill="F9FAFB" w:val="clear"/>
          </w:tcPr>
          <w:p>
            <w:r>
              <w:rPr>
                <w:color w:val="1F2937"/>
                <w:sz w:val="19"/>
                <w:szCs w:val="19"/>
                <w:rFonts w:ascii="Calibri" w:cs="Calibri" w:eastAsia="Calibri" w:hAnsi="Calibri"/>
              </w:rPr>
              <w:t xml:space="preserve">Either party</w:t>
            </w:r>
          </w:p>
        </w:tc>
      </w:tr>
      <w:tr>
        <w:tc>
          <w:tcPr>
            <w:tcW w:type="pct" w:w="33%"/>
          </w:tcPr>
          <w:p>
            <w:r>
              <w:rPr>
                <w:color w:val="1F2937"/>
                <w:sz w:val="19"/>
                <w:szCs w:val="19"/>
                <w:rFonts w:ascii="Calibri" w:cs="Calibri" w:eastAsia="Calibri" w:hAnsi="Calibri"/>
              </w:rPr>
              <w:t xml:space="preserve">Fixed-term end</w:t>
            </w:r>
          </w:p>
        </w:tc>
        <w:tc>
          <w:tcPr>
            <w:tcW w:type="pct" w:w="33%"/>
          </w:tcPr>
          <w:p>
            <w:r>
              <w:rPr>
                <w:color w:val="1F2937"/>
                <w:sz w:val="19"/>
                <w:szCs w:val="19"/>
                <w:rFonts w:ascii="Calibri" w:cs="Calibri" w:eastAsia="Calibri" w:hAnsi="Calibri"/>
              </w:rPr>
              <w:t xml:space="preserve">Per lease</w:t>
            </w:r>
          </w:p>
        </w:tc>
        <w:tc>
          <w:tcPr>
            <w:tcW w:type="pct" w:w="33%"/>
          </w:tcPr>
          <w:p>
            <w:r>
              <w:rPr>
                <w:color w:val="1F2937"/>
                <w:sz w:val="19"/>
                <w:szCs w:val="19"/>
                <w:rFonts w:ascii="Calibri" w:cs="Calibri" w:eastAsia="Calibri" w:hAnsi="Calibri"/>
              </w:rPr>
              <w:t xml:space="preserve">No notice required at end of fixed term unless lease says otherwise</w:t>
            </w:r>
          </w:p>
        </w:tc>
      </w:tr>
    </w:tbl>
    <w:p>
      <w:pPr>
        <w:spacing w:after="120"/>
      </w:pPr>
    </w:p>
    <w:p>
      <w:pPr>
        <w:shd w:fill="FFFBEB" w:val="clear"/>
        <w:spacing w:before="80" w:after="120"/>
      </w:pPr>
      <w:r>
        <w:rPr>
          <w:b/>
          <w:bCs/>
          <w:color w:val="92400E"/>
          <w:sz w:val="19"/>
          <w:szCs w:val="19"/>
          <w:rFonts w:ascii="Calibri" w:cs="Calibri" w:eastAsia="Calibri" w:hAnsi="Calibri"/>
        </w:rPr>
        <w:t xml:space="preserve">⚠ Note: </w:t>
      </w:r>
      <w:r>
        <w:rPr>
          <w:i/>
          <w:iCs/>
          <w:color w:val="92400E"/>
          <w:sz w:val="19"/>
          <w:szCs w:val="19"/>
          <w:rFonts w:ascii="Calibri" w:cs="Calibri" w:eastAsia="Calibri" w:hAnsi="Calibri"/>
        </w:rPr>
        <w:t xml:space="preserve">Military clause: Under the Servicemembers Civil Relief Act (SCRA), active-duty military may terminate with 30 days' written notice + copy of orders.</w:t>
      </w:r>
    </w:p>
    <w:p>
      <w:pPr>
        <w:pStyle w:val="Heading2"/>
        <w:pBdr>
          <w:bottom w:val="single" w:color="E97316" w:sz="1"/>
        </w:pBdr>
        <w:spacing w:before="300" w:after="120"/>
      </w:pPr>
      <w:r>
        <w:t xml:space="preserve">SIGNATURES</w:t>
      </w:r>
    </w:p>
    <w:p>
      <w:pPr>
        <w:spacing w:after="80"/>
      </w:pPr>
      <w:r>
        <w:rPr>
          <w:b/>
          <w:bCs/>
          <w:color w:val="1F2937"/>
          <w:sz w:val="21"/>
          <w:szCs w:val="21"/>
          <w:rFonts w:ascii="Calibri" w:cs="Calibri" w:eastAsia="Calibri" w:hAnsi="Calibri"/>
        </w:rPr>
        <w:t xml:space="preserve">Landlord Signature: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Tenant Signature: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[____/____/________]</w:t>
      </w:r>
    </w:p>
    <w:p>
      <w:pPr>
        <w:spacing w:before="400" w:after="100"/>
        <w:jc w:val="center"/>
      </w:pPr>
      <w:r>
        <w:rPr>
          <w:b/>
          <w:bCs/>
          <w:color w:val="991B1B"/>
          <w:sz w:val="22"/>
          <w:szCs w:val="22"/>
          <w:rFonts w:ascii="Calibri" w:cs="Calibri" w:eastAsia="Calibri" w:hAnsi="Calibri"/>
        </w:rPr>
        <w:t xml:space="preserve">IMPORTANT DISCLAIMER</w:t>
      </w:r>
    </w:p>
    <w:p>
      <w:pPr>
        <w:shd w:fill="FEF2F2" w:val="clear"/>
        <w:spacing w:after="60"/>
        <w:jc w:val="center"/>
      </w:pPr>
      <w:r>
        <w:rPr>
          <w:i/>
          <w:iCs/>
          <w:color w:val="991B1B"/>
          <w:sz w:val="19"/>
          <w:szCs w:val="19"/>
          <w:rFonts w:ascii="Calibri" w:cs="Calibri" w:eastAsia="Calibri" w:hAnsi="Calibri"/>
        </w:rPr>
        <w:t xml:space="preserve">This template follows Texas Property Code. TX is landlord-friendly but proper procedures are required. Have an attorney review.</w:t>
      </w:r>
    </w:p>
    <w:p>
      <w:pPr>
        <w:spacing w:after="200"/>
        <w:jc w:val="center"/>
      </w:pPr>
      <w:r>
        <w:rPr>
          <w:i/>
          <w:iCs/>
          <w:color w:val="6B7280"/>
          <w:sz w:val="18"/>
          <w:szCs w:val="18"/>
          <w:rFonts w:ascii="Calibri" w:cs="Calibri" w:eastAsia="Calibri" w:hAnsi="Calibri"/>
        </w:rPr>
        <w:t xml:space="preserve">This template is provided by Leasense (www.leasense.com) for general informational purposes only and does not constitute legal advice. Property laws vary significantly by jurisdiction and change frequently. Before using any legally binding document, consult a qualified legal professional in your area.</w:t>
      </w:r>
    </w:p>
    <w:sectPr>
      <w:headerReference w:type="default" r:id="rId6"/>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7EB" w:sz="1"/>
      </w:pBdr>
      <w:spacing w:before="100"/>
      <w:jc w:val="center"/>
    </w:pPr>
    <w:r>
      <w:rPr>
        <w:color w:val="6B7280"/>
        <w:sz w:val="14"/>
        <w:szCs w:val="14"/>
        <w:rFonts w:ascii="Calibri" w:cs="Calibri" w:eastAsia="Calibri" w:hAnsi="Calibri"/>
      </w:rPr>
      <w:t xml:space="preserve">© Leasense — www.leasense.com — This template does not constitute legal advice.</w:t>
    </w:r>
    <w:r>
      <w:rPr>
        <w:color w:val="6B7280"/>
        <w:sz w:val="14"/>
        <w:szCs w:val="14"/>
        <w:rFonts w:ascii="Calibri" w:cs="Calibri" w:eastAsia="Calibri" w:hAnsi="Calibri"/>
      </w:rPr>
      <w:t xml:space="preserve">        Page </w:t>
    </w:r>
    <w:r>
      <w:rPr>
        <w:color w:val="6B7280"/>
        <w:sz w:val="14"/>
        <w:szCs w:val="14"/>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7EB" w:sz="1"/>
      </w:pBdr>
      <w:spacing w:after="100"/>
      <w:jc w:val="left"/>
    </w:pPr>
    <w:r>
      <w:rPr>
        <w:b/>
        <w:bCs/>
        <w:color w:val="E97316"/>
        <w:sz w:val="20"/>
        <w:szCs w:val="20"/>
        <w:rFonts w:ascii="Calibri" w:cs="Calibri" w:eastAsia="Calibri" w:hAnsi="Calibri"/>
      </w:rPr>
      <w:t xml:space="preserve">LEASENSE</w:t>
    </w:r>
    <w:r>
      <w:rPr>
        <w:color w:val="6B7280"/>
        <w:sz w:val="16"/>
        <w:szCs w:val="16"/>
        <w:rFonts w:ascii="Calibri" w:cs="Calibri" w:eastAsia="Calibri" w:hAnsi="Calibri"/>
      </w:rPr>
      <w:t xml:space="preserve">    Free Template — For informational purposes only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2026-10-26T00:35:09.384Z</dcterms:created>
  <dcterms:modified xsi:type="dcterms:W3CDTF">2026-10-26T00:35:09.384Z</dcterms:modified>
</cp:coreProperties>
</file>

<file path=docProps/custom.xml><?xml version="1.0" encoding="utf-8"?>
<Properties xmlns="http://schemas.openxmlformats.org/officeDocument/2006/custom-properties" xmlns:vt="http://schemas.openxmlformats.org/officeDocument/2006/docPropsVTypes"/>
</file>