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TEXAS RESIDENTIAL LEASE AGREEMENT</w:t>
      </w:r>
    </w:p>
    <w:p>
      <w:pPr>
        <w:spacing w:after="200"/>
        <w:jc w:val="center"/>
      </w:pPr>
      <w:r>
        <w:rPr>
          <w:color w:val="6B7280"/>
          <w:sz w:val="22"/>
          <w:szCs w:val="22"/>
          <w:rFonts w:ascii="Calibri" w:cs="Calibri" w:eastAsia="Calibri" w:hAnsi="Calibri"/>
        </w:rPr>
        <w:t xml:space="preserve">Texas Property Code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Texas, USA</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City / ZIP: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Term and Rent</w:t>
      </w:r>
    </w:p>
    <w:p>
      <w:pPr>
        <w:spacing w:after="120"/>
      </w:pPr>
      <w:r>
        <w:rPr>
          <w:color w:val="1F2937"/>
          <w:sz w:val="21"/>
          <w:szCs w:val="21"/>
          <w:rFonts w:ascii="Calibri" w:cs="Calibri" w:eastAsia="Calibri" w:hAnsi="Calibri"/>
        </w:rPr>
        <w:t xml:space="preserve">Texas has NO statewide rent control. Municipalities are prohibited from enacting rent control (TX Prop. Code §214.902).</w:t>
      </w:r>
    </w:p>
    <w:p>
      <w:pPr>
        <w:spacing w:after="80"/>
      </w:pPr>
      <w:r>
        <w:rPr>
          <w:b/>
          <w:bCs/>
          <w:color w:val="1F2937"/>
          <w:sz w:val="21"/>
          <w:szCs w:val="21"/>
          <w:rFonts w:ascii="Calibri" w:cs="Calibri" w:eastAsia="Calibri" w:hAnsi="Calibri"/>
        </w:rPr>
        <w:t xml:space="preserve">Start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End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Monthly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Due Date: </w:t>
      </w:r>
      <w:r>
        <w:rPr>
          <w:u w:val="single" w:color="E5E7EB"/>
          <w:color w:val="9CA3AF"/>
          <w:sz w:val="21"/>
          <w:szCs w:val="21"/>
          <w:rFonts w:ascii="Calibri" w:cs="Calibri" w:eastAsia="Calibri" w:hAnsi="Calibri"/>
        </w:rPr>
        <w:t xml:space="preserve">[1st of month]</w:t>
      </w:r>
    </w:p>
    <w:p>
      <w:pPr>
        <w:spacing w:after="80"/>
      </w:pPr>
      <w:r>
        <w:rPr>
          <w:b/>
          <w:bCs/>
          <w:color w:val="1F2937"/>
          <w:sz w:val="21"/>
          <w:szCs w:val="21"/>
          <w:rFonts w:ascii="Calibri" w:cs="Calibri" w:eastAsia="Calibri" w:hAnsi="Calibri"/>
        </w:rPr>
        <w:t xml:space="preserve">Grace Period: </w:t>
      </w:r>
      <w:r>
        <w:rPr>
          <w:u w:val="single" w:color="E5E7EB"/>
          <w:color w:val="9CA3AF"/>
          <w:sz w:val="21"/>
          <w:szCs w:val="21"/>
          <w:rFonts w:ascii="Calibri" w:cs="Calibri" w:eastAsia="Calibri" w:hAnsi="Calibri"/>
        </w:rPr>
        <w:t xml:space="preserve">[___] days (not required by law)</w:t>
      </w:r>
    </w:p>
    <w:p>
      <w:pPr>
        <w:spacing w:after="80"/>
      </w:pPr>
      <w:r>
        <w:rPr>
          <w:b/>
          <w:bCs/>
          <w:color w:val="1F2937"/>
          <w:sz w:val="21"/>
          <w:szCs w:val="21"/>
          <w:rFonts w:ascii="Calibri" w:cs="Calibri" w:eastAsia="Calibri" w:hAnsi="Calibri"/>
        </w:rPr>
        <w:t xml:space="preserve">Late Fee: </w:t>
      </w:r>
      <w:r>
        <w:rPr>
          <w:u w:val="single" w:color="E5E7EB"/>
          <w:color w:val="9CA3AF"/>
          <w:sz w:val="21"/>
          <w:szCs w:val="21"/>
          <w:rFonts w:ascii="Calibri" w:cs="Calibri" w:eastAsia="Calibri" w:hAnsi="Calibri"/>
        </w:rPr>
        <w:t xml:space="preserve">$[___________] (must be reasonable)</w:t>
      </w:r>
    </w:p>
    <w:p>
      <w:pPr>
        <w:spacing w:after="80"/>
      </w:pPr>
      <w:r>
        <w:rPr>
          <w:b/>
          <w:bCs/>
          <w:color w:val="1F2937"/>
          <w:sz w:val="21"/>
          <w:szCs w:val="21"/>
          <w:rFonts w:ascii="Calibri" w:cs="Calibri" w:eastAsia="Calibri" w:hAnsi="Calibri"/>
        </w:rPr>
        <w:t xml:space="preserve">NSF Check Fee: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3. Security Deposit</w:t>
      </w:r>
    </w:p>
    <w:p>
      <w:pPr>
        <w:spacing w:after="120"/>
      </w:pPr>
      <w:r>
        <w:rPr>
          <w:color w:val="1F2937"/>
          <w:sz w:val="21"/>
          <w:szCs w:val="21"/>
          <w:rFonts w:ascii="Calibri" w:cs="Calibri" w:eastAsia="Calibri" w:hAnsi="Calibri"/>
        </w:rPr>
        <w:t xml:space="preserve">Texas Property Code §92.101–92.109:</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No statutory limit on deposit amount (must be reasonable).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Must be returned within 30 days of move-out, with itemized deductions.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Tenant must provide forwarding address in writing.</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no forwarding address, deposit sent to last known address.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may deduct for: damages beyond wear and tear, unpaid rent, early termination costs, cleaning, and other lease breaches.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Bad faith retention: tenant may recover 3× wrongfully withheld amount + $100 + attorney fees.</w:t>
      </w:r>
    </w:p>
    <w:p>
      <w:pPr>
        <w:pStyle w:val="Heading2"/>
        <w:pBdr>
          <w:bottom w:val="single" w:color="E97316" w:sz="1"/>
        </w:pBdr>
        <w:spacing w:before="300" w:after="120"/>
      </w:pPr>
      <w:r>
        <w:t xml:space="preserve">4. Required Disclosures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Lead paint (pre-1978)</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Flood plain disclosure (Prop. Code §92.0135) — if in 100-year flood plain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Previous flooding disclosure (if previously flooded)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Methamphetamine contamination (Health &amp; Safety Code §12.112)</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Landlord/agent contact information</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Parking rules (if applicable)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Right to repair and deduct (for conditions materially affecting health/safety)</w:t>
      </w:r>
    </w:p>
    <w:p>
      <w:pPr>
        <w:pStyle w:val="Heading2"/>
        <w:pBdr>
          <w:bottom w:val="single" w:color="E97316" w:sz="1"/>
        </w:pBdr>
        <w:spacing w:before="300" w:after="120"/>
      </w:pPr>
      <w:r>
        <w:t xml:space="preserve">5.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Keep premises clean and sanitary.</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Comply with all applicable laws and codes.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engage in criminal activity on premises.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disturb neighbours.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Use fixtures properly.</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Not make unauthorized alterations.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Provide notice of needed repairs.</w:t>
      </w:r>
    </w:p>
    <w:p>
      <w:pPr>
        <w:pStyle w:val="Heading2"/>
        <w:pBdr>
          <w:bottom w:val="single" w:color="E97316" w:sz="1"/>
        </w:pBdr>
        <w:spacing w:before="300" w:after="120"/>
      </w:pPr>
      <w:r>
        <w:t xml:space="preserve">6.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Maintain premises in habitable condition.</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Make repairs within reasonable time after written notice (generally 7 days for conditions affecting health/safety).</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Install smoke detectors (one per bedroom + one outside sleeping area).</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security devices: deadbolt on exterior doors, sliding door pin lock, window latches, peephole on exterior doors.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Rekey locks within 7 days of each new tenant (Prop. Code §92.156).</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24-hour notice before entry (not statutory but standard practice).</w:t>
      </w:r>
    </w:p>
    <w:p>
      <w:pPr>
        <w:pStyle w:val="Heading2"/>
        <w:pBdr>
          <w:bottom w:val="single" w:color="E97316" w:sz="1"/>
        </w:pBdr>
        <w:spacing w:before="300" w:after="120"/>
      </w:pPr>
      <w:r>
        <w:t xml:space="preserve">7. Termination and Eviction</w:t>
      </w:r>
    </w:p>
    <w:p>
      <w:pPr>
        <w:spacing w:after="120"/>
      </w:pPr>
      <w:r>
        <w:rPr>
          <w:color w:val="1F2937"/>
          <w:sz w:val="21"/>
          <w:szCs w:val="21"/>
          <w:rFonts w:ascii="Calibri" w:cs="Calibri" w:eastAsia="Calibri" w:hAnsi="Calibri"/>
        </w:rPr>
        <w:t xml:space="preserve">Texas eviction (forcible detainer) filed in Justice Court. Timeline: typically 3–4 weeks from filing to writ of possession. Tenant may appeal to County Court (additional 8+ days).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Type</w:t>
            </w:r>
          </w:p>
        </w:tc>
        <w:tc>
          <w:tcPr>
            <w:tcW w:type="pct" w:w="33%"/>
            <w:shd w:fill="E97316" w:val="clear"/>
          </w:tcPr>
          <w:p>
            <w:pPr>
              <w:jc w:val="center"/>
            </w:pPr>
            <w:r>
              <w:rPr>
                <w:b/>
                <w:bCs/>
                <w:color w:val="FFFFFF"/>
                <w:sz w:val="19"/>
                <w:szCs w:val="19"/>
                <w:rFonts w:ascii="Calibri" w:cs="Calibri" w:eastAsia="Calibri" w:hAnsi="Calibri"/>
              </w:rPr>
              <w:t xml:space="preserve">Notice</w:t>
            </w:r>
          </w:p>
        </w:tc>
        <w:tc>
          <w:tcPr>
            <w:tcW w:type="pct" w:w="33%"/>
            <w:shd w:fill="E97316" w:val="clear"/>
          </w:tcPr>
          <w:p>
            <w:pPr>
              <w:jc w:val="center"/>
            </w:pPr>
            <w:r>
              <w:rPr>
                <w:b/>
                <w:bCs/>
                <w:color w:val="FFFFFF"/>
                <w:sz w:val="19"/>
                <w:szCs w:val="19"/>
                <w:rFonts w:ascii="Calibri" w:cs="Calibri" w:eastAsia="Calibri" w:hAnsi="Calibri"/>
              </w:rPr>
              <w:t xml:space="preserve">Notes</w:t>
            </w:r>
          </w:p>
        </w:tc>
      </w:tr>
      <w:tr>
        <w:tc>
          <w:tcPr>
            <w:tcW w:type="pct" w:w="33%"/>
            <w:shd w:fill="F9FAFB" w:val="clear"/>
          </w:tcPr>
          <w:p>
            <w:r>
              <w:rPr>
                <w:color w:val="1F2937"/>
                <w:sz w:val="19"/>
                <w:szCs w:val="19"/>
                <w:rFonts w:ascii="Calibri" w:cs="Calibri" w:eastAsia="Calibri" w:hAnsi="Calibri"/>
              </w:rPr>
              <w:t xml:space="preserve">Non-payment</w:t>
            </w:r>
          </w:p>
        </w:tc>
        <w:tc>
          <w:tcPr>
            <w:tcW w:type="pct" w:w="33%"/>
            <w:shd w:fill="F9FAFB" w:val="clear"/>
          </w:tcPr>
          <w:p>
            <w:r>
              <w:rPr>
                <w:color w:val="1F2937"/>
                <w:sz w:val="19"/>
                <w:szCs w:val="19"/>
                <w:rFonts w:ascii="Calibri" w:cs="Calibri" w:eastAsia="Calibri" w:hAnsi="Calibri"/>
              </w:rPr>
              <w:t xml:space="preserve">3 days to vacate</w:t>
            </w:r>
          </w:p>
        </w:tc>
        <w:tc>
          <w:tcPr>
            <w:tcW w:type="pct" w:w="33%"/>
            <w:shd w:fill="F9FAFB" w:val="clear"/>
          </w:tcPr>
          <w:p>
            <w:r>
              <w:rPr>
                <w:color w:val="1F2937"/>
                <w:sz w:val="19"/>
                <w:szCs w:val="19"/>
                <w:rFonts w:ascii="Calibri" w:cs="Calibri" w:eastAsia="Calibri" w:hAnsi="Calibri"/>
              </w:rPr>
              <w:t xml:space="preserve">After demand, no cure right unless lease provides one</w:t>
            </w:r>
          </w:p>
        </w:tc>
      </w:tr>
      <w:tr>
        <w:tc>
          <w:tcPr>
            <w:tcW w:type="pct" w:w="33%"/>
          </w:tcPr>
          <w:p>
            <w:r>
              <w:rPr>
                <w:color w:val="1F2937"/>
                <w:sz w:val="19"/>
                <w:szCs w:val="19"/>
                <w:rFonts w:ascii="Calibri" w:cs="Calibri" w:eastAsia="Calibri" w:hAnsi="Calibri"/>
              </w:rPr>
              <w:t xml:space="preserve">Lease violation</w:t>
            </w:r>
          </w:p>
        </w:tc>
        <w:tc>
          <w:tcPr>
            <w:tcW w:type="pct" w:w="33%"/>
          </w:tcPr>
          <w:p>
            <w:r>
              <w:rPr>
                <w:color w:val="1F2937"/>
                <w:sz w:val="19"/>
                <w:szCs w:val="19"/>
                <w:rFonts w:ascii="Calibri" w:cs="Calibri" w:eastAsia="Calibri" w:hAnsi="Calibri"/>
              </w:rPr>
              <w:t xml:space="preserve">Per lease terms</w:t>
            </w:r>
          </w:p>
        </w:tc>
        <w:tc>
          <w:tcPr>
            <w:tcW w:type="pct" w:w="33%"/>
          </w:tcPr>
          <w:p>
            <w:r>
              <w:rPr>
                <w:color w:val="1F2937"/>
                <w:sz w:val="19"/>
                <w:szCs w:val="19"/>
                <w:rFonts w:ascii="Calibri" w:cs="Calibri" w:eastAsia="Calibri" w:hAnsi="Calibri"/>
              </w:rPr>
              <w:t xml:space="preserve">Typically 3-day notice</w:t>
            </w:r>
          </w:p>
        </w:tc>
      </w:tr>
      <w:tr>
        <w:tc>
          <w:tcPr>
            <w:tcW w:type="pct" w:w="33%"/>
            <w:shd w:fill="F9FAFB" w:val="clear"/>
          </w:tcPr>
          <w:p>
            <w:r>
              <w:rPr>
                <w:color w:val="1F2937"/>
                <w:sz w:val="19"/>
                <w:szCs w:val="19"/>
                <w:rFonts w:ascii="Calibri" w:cs="Calibri" w:eastAsia="Calibri" w:hAnsi="Calibri"/>
              </w:rPr>
              <w:t xml:space="preserve">Month-to-month</w:t>
            </w:r>
          </w:p>
        </w:tc>
        <w:tc>
          <w:tcPr>
            <w:tcW w:type="pct" w:w="33%"/>
            <w:shd w:fill="F9FAFB" w:val="clear"/>
          </w:tcPr>
          <w:p>
            <w:r>
              <w:rPr>
                <w:color w:val="1F2937"/>
                <w:sz w:val="19"/>
                <w:szCs w:val="19"/>
                <w:rFonts w:ascii="Calibri" w:cs="Calibri" w:eastAsia="Calibri" w:hAnsi="Calibri"/>
              </w:rPr>
              <w:t xml:space="preserve">30 days</w:t>
            </w:r>
          </w:p>
        </w:tc>
        <w:tc>
          <w:tcPr>
            <w:tcW w:type="pct" w:w="33%"/>
            <w:shd w:fill="F9FAFB" w:val="clear"/>
          </w:tcPr>
          <w:p>
            <w:r>
              <w:rPr>
                <w:color w:val="1F2937"/>
                <w:sz w:val="19"/>
                <w:szCs w:val="19"/>
                <w:rFonts w:ascii="Calibri" w:cs="Calibri" w:eastAsia="Calibri" w:hAnsi="Calibri"/>
              </w:rPr>
              <w:t xml:space="preserve">Either party</w:t>
            </w:r>
          </w:p>
        </w:tc>
      </w:tr>
      <w:tr>
        <w:tc>
          <w:tcPr>
            <w:tcW w:type="pct" w:w="33%"/>
          </w:tcPr>
          <w:p>
            <w:r>
              <w:rPr>
                <w:color w:val="1F2937"/>
                <w:sz w:val="19"/>
                <w:szCs w:val="19"/>
                <w:rFonts w:ascii="Calibri" w:cs="Calibri" w:eastAsia="Calibri" w:hAnsi="Calibri"/>
              </w:rPr>
              <w:t xml:space="preserve">Fixed-term end</w:t>
            </w:r>
          </w:p>
        </w:tc>
        <w:tc>
          <w:tcPr>
            <w:tcW w:type="pct" w:w="33%"/>
          </w:tcPr>
          <w:p>
            <w:r>
              <w:rPr>
                <w:color w:val="1F2937"/>
                <w:sz w:val="19"/>
                <w:szCs w:val="19"/>
                <w:rFonts w:ascii="Calibri" w:cs="Calibri" w:eastAsia="Calibri" w:hAnsi="Calibri"/>
              </w:rPr>
              <w:t xml:space="preserve">Per lease</w:t>
            </w:r>
          </w:p>
        </w:tc>
        <w:tc>
          <w:tcPr>
            <w:tcW w:type="pct" w:w="33%"/>
          </w:tcPr>
          <w:p>
            <w:r>
              <w:rPr>
                <w:color w:val="1F2937"/>
                <w:sz w:val="19"/>
                <w:szCs w:val="19"/>
                <w:rFonts w:ascii="Calibri" w:cs="Calibri" w:eastAsia="Calibri" w:hAnsi="Calibri"/>
              </w:rPr>
              <w:t xml:space="preserve">No notice required at end of fixed term unless lease says otherwise</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Military clause: Under the Servicemembers Civil Relief Act (SCRA), active-duty military may terminate with 30 days' written notice + copy of orders.</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follows Texas Property Code. TX is landlord-friendly but proper procedures are required. Have an attorney review.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2026-03-14T05:31:00.466Z</dcterms:created>
  <dcterms:modified xsi:type="dcterms:W3CDTF">2026-03-14T05:31:00.466Z</dcterms:modified>
</cp:coreProperties>
</file>

<file path=docProps/custom.xml><?xml version="1.0" encoding="utf-8"?>
<Properties xmlns="http://schemas.openxmlformats.org/officeDocument/2006/custom-properties" xmlns:vt="http://schemas.openxmlformats.org/officeDocument/2006/docPropsVTypes"/>
</file>