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RESIDENTIAL TENANCY AGREEMENT</w:t>
      </w:r>
    </w:p>
    <w:p>
      <w:pPr>
        <w:spacing w:after="200"/>
        <w:jc w:val="center"/>
      </w:pPr>
      <w:r>
        <w:rPr>
          <w:color w:val="6B7280"/>
          <w:sz w:val="22"/>
          <w:szCs w:val="22"/>
          <w:rFonts w:ascii="Calibri" w:cs="Calibri" w:eastAsia="Calibri" w:hAnsi="Calibri"/>
        </w:rPr>
        <w:t xml:space="preserve">Republic of Ireland — Residential Tenancies Acts 2004–2024</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Republic of Ireland</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Parties to this Agreement</w:t>
      </w:r>
    </w:p>
    <w:p>
      <w:pPr>
        <w:spacing w:after="120"/>
      </w:pPr>
      <w:r>
        <w:rPr>
          <w:color w:val="1F2937"/>
          <w:sz w:val="21"/>
          <w:szCs w:val="21"/>
          <w:rFonts w:ascii="Calibri" w:cs="Calibri" w:eastAsia="Calibri" w:hAnsi="Calibri"/>
        </w:rPr>
        <w:t xml:space="preserve">This Residential Tenancy Agreement ("Agreement") is made on the date set out below between the Landlord and the Tenant.</w:t>
      </w:r>
    </w:p>
    <w:p>
      <w:pPr>
        <w:spacing w:after="80"/>
      </w:pPr>
      <w:r>
        <w:rPr>
          <w:b/>
          <w:bCs/>
          <w:color w:val="1F2937"/>
          <w:sz w:val="21"/>
          <w:szCs w:val="21"/>
          <w:rFonts w:ascii="Calibri" w:cs="Calibri" w:eastAsia="Calibri" w:hAnsi="Calibri"/>
        </w:rPr>
        <w:t xml:space="preserve">Date of Agreement: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Landlord Full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PPSN (for RTB registration):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Landlord Email: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Phone: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Full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Previous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PPS Number: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Tenant Email: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Phone: </w:t>
      </w:r>
      <w:r>
        <w:rPr>
          <w:u w:val="single" w:color="E5E7EB"/>
          <w:color w:val="9CA3AF"/>
          <w:sz w:val="21"/>
          <w:szCs w:val="21"/>
          <w:rFonts w:ascii="Calibri" w:cs="Calibri" w:eastAsia="Calibri" w:hAnsi="Calibri"/>
        </w:rPr>
        <w:t xml:space="preserve">[_________________________________]</w:t>
      </w:r>
    </w:p>
    <w:p>
      <w:pPr>
        <w:pStyle w:val="Heading2"/>
        <w:pBdr>
          <w:bottom w:val="single" w:color="E97316" w:sz="1"/>
        </w:pBdr>
        <w:spacing w:before="300" w:after="120"/>
      </w:pPr>
      <w:r>
        <w:t xml:space="preserve">2. Property Details (the "Dwelling")</w:t>
      </w:r>
    </w:p>
    <w:p>
      <w:pPr>
        <w:spacing w:after="80"/>
      </w:pPr>
      <w:r>
        <w:rPr>
          <w:b/>
          <w:bCs/>
          <w:color w:val="1F2937"/>
          <w:sz w:val="21"/>
          <w:szCs w:val="21"/>
          <w:rFonts w:ascii="Calibri" w:cs="Calibri" w:eastAsia="Calibri" w:hAnsi="Calibri"/>
        </w:rPr>
        <w:t xml:space="preserve">Address of Dwelling: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Eircode: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Property Type: </w:t>
      </w:r>
      <w:r>
        <w:rPr>
          <w:u w:val="single" w:color="E5E7EB"/>
          <w:color w:val="9CA3AF"/>
          <w:sz w:val="21"/>
          <w:szCs w:val="21"/>
          <w:rFonts w:ascii="Calibri" w:cs="Calibri" w:eastAsia="Calibri" w:hAnsi="Calibri"/>
        </w:rPr>
        <w:t xml:space="preserve">[House / Apartment / Flat / Room / Other]</w:t>
      </w:r>
    </w:p>
    <w:p>
      <w:pPr>
        <w:spacing w:after="80"/>
      </w:pPr>
      <w:r>
        <w:rPr>
          <w:b/>
          <w:bCs/>
          <w:color w:val="1F2937"/>
          <w:sz w:val="21"/>
          <w:szCs w:val="21"/>
          <w:rFonts w:ascii="Calibri" w:cs="Calibri" w:eastAsia="Calibri" w:hAnsi="Calibri"/>
        </w:rPr>
        <w:t xml:space="preserve">BER Rating: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BER Certificate Number: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Number of Bedrooms: </w:t>
      </w:r>
      <w:r>
        <w:rPr>
          <w:u w:val="single" w:color="E5E7EB"/>
          <w:color w:val="9CA3AF"/>
          <w:sz w:val="21"/>
          <w:szCs w:val="21"/>
          <w:rFonts w:ascii="Calibri" w:cs="Calibri" w:eastAsia="Calibri" w:hAnsi="Calibri"/>
        </w:rPr>
        <w:t xml:space="preserve">[___]</w:t>
      </w:r>
    </w:p>
    <w:p>
      <w:pPr>
        <w:spacing w:after="80"/>
      </w:pPr>
      <w:r>
        <w:rPr>
          <w:b/>
          <w:bCs/>
          <w:color w:val="1F2937"/>
          <w:sz w:val="21"/>
          <w:szCs w:val="21"/>
          <w:rFonts w:ascii="Calibri" w:cs="Calibri" w:eastAsia="Calibri" w:hAnsi="Calibri"/>
        </w:rPr>
        <w:t xml:space="preserve">Furnished / Unfurnished: </w:t>
      </w:r>
      <w:r>
        <w:rPr>
          <w:u w:val="single" w:color="E5E7EB"/>
          <w:color w:val="9CA3AF"/>
          <w:sz w:val="21"/>
          <w:szCs w:val="21"/>
          <w:rFonts w:ascii="Calibri" w:cs="Calibri" w:eastAsia="Calibri" w:hAnsi="Calibri"/>
        </w:rPr>
        <w:t xml:space="preserve">[Furnished / Partly Furnished / Unfurnished]</w:t>
      </w:r>
    </w:p>
    <w:p>
      <w:pPr>
        <w:spacing w:after="80"/>
      </w:pPr>
      <w:r>
        <w:rPr>
          <w:b/>
          <w:bCs/>
          <w:color w:val="1F2937"/>
          <w:sz w:val="21"/>
          <w:szCs w:val="21"/>
          <w:rFonts w:ascii="Calibri" w:cs="Calibri" w:eastAsia="Calibri" w:hAnsi="Calibri"/>
        </w:rPr>
        <w:t xml:space="preserve">Parking Included: </w:t>
      </w:r>
      <w:r>
        <w:rPr>
          <w:u w:val="single" w:color="E5E7EB"/>
          <w:color w:val="9CA3AF"/>
          <w:sz w:val="21"/>
          <w:szCs w:val="21"/>
          <w:rFonts w:ascii="Calibri" w:cs="Calibri" w:eastAsia="Calibri" w:hAnsi="Calibri"/>
        </w:rPr>
        <w:t xml:space="preserve">[Yes / No — Details: ________________]</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Under the Residential Tenancies Acts, the landlord must register the tenancy with the RTB within one month of commencement.</w:t>
      </w:r>
    </w:p>
    <w:p>
      <w:pPr>
        <w:pStyle w:val="Heading2"/>
        <w:pBdr>
          <w:bottom w:val="single" w:color="E97316" w:sz="1"/>
        </w:pBdr>
        <w:spacing w:before="300" w:after="120"/>
      </w:pPr>
      <w:r>
        <w:t xml:space="preserve">3. Term of Tenancy</w:t>
      </w:r>
    </w:p>
    <w:p>
      <w:pPr>
        <w:spacing w:after="120"/>
      </w:pPr>
      <w:r>
        <w:rPr>
          <w:color w:val="1F2937"/>
          <w:sz w:val="21"/>
          <w:szCs w:val="21"/>
          <w:rFonts w:ascii="Calibri" w:cs="Calibri" w:eastAsia="Calibri" w:hAnsi="Calibri"/>
        </w:rPr>
        <w:t xml:space="preserve">The tenancy shall commence on the date specified below for an initial fixed term. After the fixed term expires, the tenancy shall continue as a periodic (month-to-month) tenancy subject to Part 4 rights.</w:t>
      </w:r>
    </w:p>
    <w:p>
      <w:pPr>
        <w:spacing w:after="120"/>
      </w:pPr>
      <w:r>
        <w:rPr>
          <w:color w:val="1F2937"/>
          <w:sz w:val="21"/>
          <w:szCs w:val="21"/>
          <w:rFonts w:ascii="Calibri" w:cs="Calibri" w:eastAsia="Calibri" w:hAnsi="Calibri"/>
        </w:rPr>
        <w:t xml:space="preserve">Under Part 4 of the Residential Tenancies Act 2004 (as amended), after 6 months of continuous occupation the tenant acquires security of tenure for the remainder of the tenancy cycle (currently 6 years from commencement, known as a "tenancy of unlimited duration" for tenancies created after 11 June 2022).</w:t>
      </w:r>
    </w:p>
    <w:p>
      <w:pPr>
        <w:spacing w:after="80"/>
      </w:pPr>
      <w:r>
        <w:rPr>
          <w:b/>
          <w:bCs/>
          <w:color w:val="1F2937"/>
          <w:sz w:val="21"/>
          <w:szCs w:val="21"/>
          <w:rFonts w:ascii="Calibri" w:cs="Calibri" w:eastAsia="Calibri" w:hAnsi="Calibri"/>
        </w:rPr>
        <w:t xml:space="preserve">Tenancy Commencement Date: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Fixed Term End Date: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Fixed Term Duration: </w:t>
      </w:r>
      <w:r>
        <w:rPr>
          <w:u w:val="single" w:color="E5E7EB"/>
          <w:color w:val="9CA3AF"/>
          <w:sz w:val="21"/>
          <w:szCs w:val="21"/>
          <w:rFonts w:ascii="Calibri" w:cs="Calibri" w:eastAsia="Calibri" w:hAnsi="Calibri"/>
        </w:rPr>
        <w:t xml:space="preserve">[___ months / ___ year(s)]</w:t>
      </w:r>
    </w:p>
    <w:p>
      <w:pPr>
        <w:pStyle w:val="Heading2"/>
        <w:pBdr>
          <w:bottom w:val="single" w:color="E97316" w:sz="1"/>
        </w:pBdr>
        <w:spacing w:before="300" w:after="120"/>
      </w:pPr>
      <w:r>
        <w:t xml:space="preserve">4. Rent</w:t>
      </w:r>
    </w:p>
    <w:p>
      <w:pPr>
        <w:spacing w:after="120"/>
      </w:pPr>
      <w:r>
        <w:rPr>
          <w:color w:val="1F2937"/>
          <w:sz w:val="21"/>
          <w:szCs w:val="21"/>
          <w:rFonts w:ascii="Calibri" w:cs="Calibri" w:eastAsia="Calibri" w:hAnsi="Calibri"/>
        </w:rPr>
        <w:t xml:space="preserve">The Tenant shall pay rent to the Landlord in the amount and manner specified below. Rent shall be paid in advance on the day specified each month.</w:t>
      </w:r>
    </w:p>
    <w:p>
      <w:pPr>
        <w:spacing w:after="80"/>
      </w:pPr>
      <w:r>
        <w:rPr>
          <w:b/>
          <w:bCs/>
          <w:color w:val="1F2937"/>
          <w:sz w:val="21"/>
          <w:szCs w:val="21"/>
          <w:rFonts w:ascii="Calibri" w:cs="Calibri" w:eastAsia="Calibri" w:hAnsi="Calibri"/>
        </w:rPr>
        <w:t xml:space="preserve">Monthly Rent Amount: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Rent Due Date: </w:t>
      </w:r>
      <w:r>
        <w:rPr>
          <w:u w:val="single" w:color="E5E7EB"/>
          <w:color w:val="9CA3AF"/>
          <w:sz w:val="21"/>
          <w:szCs w:val="21"/>
          <w:rFonts w:ascii="Calibri" w:cs="Calibri" w:eastAsia="Calibri" w:hAnsi="Calibri"/>
        </w:rPr>
        <w:t xml:space="preserve">[1st / ___th of each month]</w:t>
      </w:r>
    </w:p>
    <w:p>
      <w:pPr>
        <w:spacing w:after="80"/>
      </w:pPr>
      <w:r>
        <w:rPr>
          <w:b/>
          <w:bCs/>
          <w:color w:val="1F2937"/>
          <w:sz w:val="21"/>
          <w:szCs w:val="21"/>
          <w:rFonts w:ascii="Calibri" w:cs="Calibri" w:eastAsia="Calibri" w:hAnsi="Calibri"/>
        </w:rPr>
        <w:t xml:space="preserve">Payment Method: </w:t>
      </w:r>
      <w:r>
        <w:rPr>
          <w:u w:val="single" w:color="E5E7EB"/>
          <w:color w:val="9CA3AF"/>
          <w:sz w:val="21"/>
          <w:szCs w:val="21"/>
          <w:rFonts w:ascii="Calibri" w:cs="Calibri" w:eastAsia="Calibri" w:hAnsi="Calibri"/>
        </w:rPr>
        <w:t xml:space="preserve">[Standing Order / Bank Transfer / Other]</w:t>
      </w:r>
    </w:p>
    <w:p>
      <w:pPr>
        <w:spacing w:after="80"/>
      </w:pPr>
      <w:r>
        <w:rPr>
          <w:b/>
          <w:bCs/>
          <w:color w:val="1F2937"/>
          <w:sz w:val="21"/>
          <w:szCs w:val="21"/>
          <w:rFonts w:ascii="Calibri" w:cs="Calibri" w:eastAsia="Calibri" w:hAnsi="Calibri"/>
        </w:rPr>
        <w:t xml:space="preserve">Bank Account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Bank IBAN: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Bank BIC: </w:t>
      </w:r>
      <w:r>
        <w:rPr>
          <w:u w:val="single" w:color="E5E7EB"/>
          <w:color w:val="9CA3AF"/>
          <w:sz w:val="21"/>
          <w:szCs w:val="21"/>
          <w:rFonts w:ascii="Calibri" w:cs="Calibri" w:eastAsia="Calibri" w:hAnsi="Calibri"/>
        </w:rPr>
        <w:t xml:space="preserve">[_______________]</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If the dwelling is in a Rent Pressure Zone (RPZ), rent increases are capped at 2% per annum or the rate of inflation (HICP), whichever is lower. The landlord must give 90 days' written notice before any rent increase.</w:t>
      </w:r>
    </w:p>
    <w:p>
      <w:pPr>
        <w:pStyle w:val="Heading2"/>
        <w:pBdr>
          <w:bottom w:val="single" w:color="E97316" w:sz="1"/>
        </w:pBdr>
        <w:spacing w:before="300" w:after="120"/>
      </w:pPr>
      <w:r>
        <w:t xml:space="preserve">5. Rent Pressure Zone (RPZ) Compliance</w:t>
      </w:r>
    </w:p>
    <w:p>
      <w:pPr>
        <w:spacing w:after="120"/>
      </w:pPr>
      <w:r>
        <w:rPr>
          <w:color w:val="1F2937"/>
          <w:sz w:val="21"/>
          <w:szCs w:val="21"/>
          <w:rFonts w:ascii="Calibri" w:cs="Calibri" w:eastAsia="Calibri" w:hAnsi="Calibri"/>
        </w:rPr>
        <w:t xml:space="preserve">The Landlord confirms whether this dwelling is located in a designated Rent Pressure Zone:</w:t>
      </w:r>
    </w:p>
    <w:p>
      <w:pPr>
        <w:spacing w:after="80"/>
      </w:pPr>
      <w:r>
        <w:rPr>
          <w:b/>
          <w:bCs/>
          <w:color w:val="1F2937"/>
          <w:sz w:val="21"/>
          <w:szCs w:val="21"/>
          <w:rFonts w:ascii="Calibri" w:cs="Calibri" w:eastAsia="Calibri" w:hAnsi="Calibri"/>
        </w:rPr>
        <w:t xml:space="preserve">Is the dwelling in an RPZ?: </w:t>
      </w:r>
      <w:r>
        <w:rPr>
          <w:u w:val="single" w:color="E5E7EB"/>
          <w:color w:val="9CA3AF"/>
          <w:sz w:val="21"/>
          <w:szCs w:val="21"/>
          <w:rFonts w:ascii="Calibri" w:cs="Calibri" w:eastAsia="Calibri" w:hAnsi="Calibri"/>
        </w:rPr>
        <w:t xml:space="preserve">[Yes / No]</w:t>
      </w:r>
    </w:p>
    <w:p>
      <w:pPr>
        <w:spacing w:after="80"/>
      </w:pPr>
      <w:r>
        <w:rPr>
          <w:b/>
          <w:bCs/>
          <w:color w:val="1F2937"/>
          <w:sz w:val="21"/>
          <w:szCs w:val="21"/>
          <w:rFonts w:ascii="Calibri" w:cs="Calibri" w:eastAsia="Calibri" w:hAnsi="Calibri"/>
        </w:rPr>
        <w:t xml:space="preserve">RPZ Designation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RPZ was designated: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Previous rent amount: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Date of last rent review: </w:t>
      </w:r>
      <w:r>
        <w:rPr>
          <w:u w:val="single" w:color="E5E7EB"/>
          <w:color w:val="9CA3AF"/>
          <w:sz w:val="21"/>
          <w:szCs w:val="21"/>
          <w:rFonts w:ascii="Calibri" w:cs="Calibri" w:eastAsia="Calibri" w:hAnsi="Calibri"/>
        </w:rPr>
        <w:t xml:space="preserve">[______ / ______ / __________]</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If the property is in an RPZ, the new rent must not exceed the previous rent by more than 2% per annum (general inflation rate as measured by HICP if lower).</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The Landlord must provide the Tenant with details of three comparable lettings in the area as evidence that the rent does not exceed market rate.</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The Landlord must provide the HICP calculation to justify any increase.</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The RTB Rent Index may be consulted at www.rtb.ie.</w:t>
      </w:r>
    </w:p>
    <w:p>
      <w:pPr>
        <w:pStyle w:val="Heading2"/>
        <w:pBdr>
          <w:bottom w:val="single" w:color="E97316" w:sz="1"/>
        </w:pBdr>
        <w:spacing w:before="300" w:after="120"/>
      </w:pPr>
      <w:r>
        <w:t xml:space="preserve">6. Deposit</w:t>
      </w:r>
    </w:p>
    <w:p>
      <w:pPr>
        <w:spacing w:after="120"/>
      </w:pPr>
      <w:r>
        <w:rPr>
          <w:color w:val="1F2937"/>
          <w:sz w:val="21"/>
          <w:szCs w:val="21"/>
          <w:rFonts w:ascii="Calibri" w:cs="Calibri" w:eastAsia="Calibri" w:hAnsi="Calibri"/>
        </w:rPr>
        <w:t xml:space="preserve">The Tenant shall pay a security deposit to the Landlord upon execution of this Agreement. The deposit shall be held by the Landlord as security for the Tenant's obligations under this Agreement.</w:t>
      </w:r>
    </w:p>
    <w:p>
      <w:pPr>
        <w:spacing w:after="120"/>
      </w:pPr>
      <w:r>
        <w:rPr>
          <w:color w:val="1F2937"/>
          <w:sz w:val="21"/>
          <w:szCs w:val="21"/>
          <w:rFonts w:ascii="Calibri" w:cs="Calibri" w:eastAsia="Calibri" w:hAnsi="Calibri"/>
        </w:rPr>
        <w:t xml:space="preserve">Under current Irish law, the maximum deposit a landlord can require is the equivalent of one month's rent. The deposit must be returned within a reasonable period after the tenancy ends (typically 14 days), less any lawful deductions.</w:t>
      </w:r>
    </w:p>
    <w:p>
      <w:pPr>
        <w:spacing w:after="80"/>
      </w:pPr>
      <w:r>
        <w:rPr>
          <w:b/>
          <w:bCs/>
          <w:color w:val="1F2937"/>
          <w:sz w:val="21"/>
          <w:szCs w:val="21"/>
          <w:rFonts w:ascii="Calibri" w:cs="Calibri" w:eastAsia="Calibri" w:hAnsi="Calibri"/>
        </w:rPr>
        <w:t xml:space="preserve">Deposit Amount: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Date Deposit Paid: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Method of Payment: </w:t>
      </w:r>
      <w:r>
        <w:rPr>
          <w:u w:val="single" w:color="E5E7EB"/>
          <w:color w:val="9CA3AF"/>
          <w:sz w:val="21"/>
          <w:szCs w:val="21"/>
          <w:rFonts w:ascii="Calibri" w:cs="Calibri" w:eastAsia="Calibri" w:hAnsi="Calibri"/>
        </w:rPr>
        <w:t xml:space="preserve">[Bank Transfer / Cheque / Cash]</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The deposit may only be retained in whole or in part for: (a) unpaid rent; (b) damage beyond normal wear and tear; (c) unpaid utility charges that are the Tenant's responsibility; (d) costs to replace keys or security devices not returned.</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The Landlord must provide an itemised statement of any deductions within a reasonable time of the tenancy ending.</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Disputes regarding the deposit may be referred to the RTB for adjudication.</w:t>
      </w:r>
    </w:p>
    <w:p>
      <w:pPr>
        <w:pStyle w:val="Heading2"/>
        <w:pBdr>
          <w:bottom w:val="single" w:color="E97316" w:sz="1"/>
        </w:pBdr>
        <w:spacing w:before="300" w:after="120"/>
      </w:pPr>
      <w:r>
        <w:t xml:space="preserve">7. Tenant Obligations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Pay rent on time and in the manner specified in this Agreement.</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Occupy the dwelling as a principal private residence and not assign or sub-let without the Landlord's prior written consent.</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Keep the dwelling in reasonable repair and condition, and notify the Landlord promptly of any repairs needed.</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Not cause or permit anti-social behaviour at or in the vicinity of the dwelling.</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Not alter, improve, or make additions to the dwelling without the Landlord's prior written consent.</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Allow the Landlord reasonable access (with at least 24 hours' notice) for inspection or to carry out repairs.</w:t>
      </w:r>
    </w:p>
    <w:p>
      <w:pPr>
        <w:spacing w:after="60"/>
        <w:ind w:left="360"/>
      </w:pPr>
      <w:r>
        <w:rPr>
          <w:b/>
          <w:bCs/>
          <w:color w:val="1F2937"/>
          <w:sz w:val="21"/>
          <w:szCs w:val="21"/>
          <w:rFonts w:ascii="Calibri" w:cs="Calibri" w:eastAsia="Calibri" w:hAnsi="Calibri"/>
        </w:rPr>
        <w:t xml:space="preserve">7. </w:t>
      </w:r>
      <w:r>
        <w:rPr>
          <w:color w:val="1F2937"/>
          <w:sz w:val="21"/>
          <w:szCs w:val="21"/>
          <w:rFonts w:ascii="Calibri" w:cs="Calibri" w:eastAsia="Calibri" w:hAnsi="Calibri"/>
        </w:rPr>
        <w:t xml:space="preserve">Comply with all statutory obligations applicable to the Tenant under the Residential Tenancies Acts.</w:t>
      </w:r>
    </w:p>
    <w:p>
      <w:pPr>
        <w:spacing w:after="60"/>
        <w:ind w:left="360"/>
      </w:pPr>
      <w:r>
        <w:rPr>
          <w:b/>
          <w:bCs/>
          <w:color w:val="1F2937"/>
          <w:sz w:val="21"/>
          <w:szCs w:val="21"/>
          <w:rFonts w:ascii="Calibri" w:cs="Calibri" w:eastAsia="Calibri" w:hAnsi="Calibri"/>
        </w:rPr>
        <w:t xml:space="preserve">8. </w:t>
      </w:r>
      <w:r>
        <w:rPr>
          <w:color w:val="1F2937"/>
          <w:sz w:val="21"/>
          <w:szCs w:val="21"/>
          <w:rFonts w:ascii="Calibri" w:cs="Calibri" w:eastAsia="Calibri" w:hAnsi="Calibri"/>
        </w:rPr>
        <w:t xml:space="preserve">Not keep pets at the dwelling without the Landlord's prior written consent.</w:t>
      </w:r>
    </w:p>
    <w:p>
      <w:pPr>
        <w:spacing w:after="60"/>
        <w:ind w:left="360"/>
      </w:pPr>
      <w:r>
        <w:rPr>
          <w:b/>
          <w:bCs/>
          <w:color w:val="1F2937"/>
          <w:sz w:val="21"/>
          <w:szCs w:val="21"/>
          <w:rFonts w:ascii="Calibri" w:cs="Calibri" w:eastAsia="Calibri" w:hAnsi="Calibri"/>
        </w:rPr>
        <w:t xml:space="preserve">9. </w:t>
      </w:r>
      <w:r>
        <w:rPr>
          <w:color w:val="1F2937"/>
          <w:sz w:val="21"/>
          <w:szCs w:val="21"/>
          <w:rFonts w:ascii="Calibri" w:cs="Calibri" w:eastAsia="Calibri" w:hAnsi="Calibri"/>
        </w:rPr>
        <w:t xml:space="preserve">Ensure the dwelling is adequately heated and ventilated to prevent dampness and mould.</w:t>
      </w:r>
    </w:p>
    <w:p>
      <w:pPr>
        <w:spacing w:after="60"/>
        <w:ind w:left="360"/>
      </w:pPr>
      <w:r>
        <w:rPr>
          <w:b/>
          <w:bCs/>
          <w:color w:val="1F2937"/>
          <w:sz w:val="21"/>
          <w:szCs w:val="21"/>
          <w:rFonts w:ascii="Calibri" w:cs="Calibri" w:eastAsia="Calibri" w:hAnsi="Calibri"/>
        </w:rPr>
        <w:t xml:space="preserve">10. </w:t>
      </w:r>
      <w:r>
        <w:rPr>
          <w:color w:val="1F2937"/>
          <w:sz w:val="21"/>
          <w:szCs w:val="21"/>
          <w:rFonts w:ascii="Calibri" w:cs="Calibri" w:eastAsia="Calibri" w:hAnsi="Calibri"/>
        </w:rPr>
        <w:t xml:space="preserve">Return the dwelling at the end of the tenancy in the condition in which it was received, subject to normal wear and tear.</w:t>
      </w:r>
    </w:p>
    <w:p>
      <w:pPr>
        <w:spacing w:after="60"/>
        <w:ind w:left="360"/>
      </w:pPr>
      <w:r>
        <w:rPr>
          <w:b/>
          <w:bCs/>
          <w:color w:val="1F2937"/>
          <w:sz w:val="21"/>
          <w:szCs w:val="21"/>
          <w:rFonts w:ascii="Calibri" w:cs="Calibri" w:eastAsia="Calibri" w:hAnsi="Calibri"/>
        </w:rPr>
        <w:t xml:space="preserve">11. </w:t>
      </w:r>
      <w:r>
        <w:rPr>
          <w:color w:val="1F2937"/>
          <w:sz w:val="21"/>
          <w:szCs w:val="21"/>
          <w:rFonts w:ascii="Calibri" w:cs="Calibri" w:eastAsia="Calibri" w:hAnsi="Calibri"/>
        </w:rPr>
        <w:t xml:space="preserve">Comply with all rules and regulations of any management company or owners' management company.</w:t>
      </w:r>
    </w:p>
    <w:p>
      <w:pPr>
        <w:spacing w:after="60"/>
        <w:ind w:left="360"/>
      </w:pPr>
      <w:r>
        <w:rPr>
          <w:b/>
          <w:bCs/>
          <w:color w:val="1F2937"/>
          <w:sz w:val="21"/>
          <w:szCs w:val="21"/>
          <w:rFonts w:ascii="Calibri" w:cs="Calibri" w:eastAsia="Calibri" w:hAnsi="Calibri"/>
        </w:rPr>
        <w:t xml:space="preserve">12. </w:t>
      </w:r>
      <w:r>
        <w:rPr>
          <w:color w:val="1F2937"/>
          <w:sz w:val="21"/>
          <w:szCs w:val="21"/>
          <w:rFonts w:ascii="Calibri" w:cs="Calibri" w:eastAsia="Calibri" w:hAnsi="Calibri"/>
        </w:rPr>
        <w:t xml:space="preserve">Ensure adequate contents insurance is in place for the Tenant's own belongings.</w:t>
      </w:r>
    </w:p>
    <w:p>
      <w:pPr>
        <w:pStyle w:val="Heading2"/>
        <w:pBdr>
          <w:bottom w:val="single" w:color="E97316" w:sz="1"/>
        </w:pBdr>
        <w:spacing w:before="300" w:after="120"/>
      </w:pPr>
      <w:r>
        <w:t xml:space="preserve">8. Landlord Obligations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Register the tenancy with the RTB within one month of commencement and pay the registration fee.</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Ensure the dwelling meets minimum standards for rental accommodation as prescribed by the Housing (Standards for Rented Houses) Regulations 2019.</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Carry out structural and exterior repairs and ensure the dwelling is maintained in a proper state of repair.</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Provide and maintain smoke alarms and carbon monoxide detectors in accordance with regulations.</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Insure the structure of the dwelling against fire and other risks.</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Provide the Tenant with a rent book or equivalent record.</w:t>
      </w:r>
    </w:p>
    <w:p>
      <w:pPr>
        <w:spacing w:after="60"/>
        <w:ind w:left="360"/>
      </w:pPr>
      <w:r>
        <w:rPr>
          <w:b/>
          <w:bCs/>
          <w:color w:val="1F2937"/>
          <w:sz w:val="21"/>
          <w:szCs w:val="21"/>
          <w:rFonts w:ascii="Calibri" w:cs="Calibri" w:eastAsia="Calibri" w:hAnsi="Calibri"/>
        </w:rPr>
        <w:t xml:space="preserve">7. </w:t>
      </w:r>
      <w:r>
        <w:rPr>
          <w:color w:val="1F2937"/>
          <w:sz w:val="21"/>
          <w:szCs w:val="21"/>
          <w:rFonts w:ascii="Calibri" w:cs="Calibri" w:eastAsia="Calibri" w:hAnsi="Calibri"/>
        </w:rPr>
        <w:t xml:space="preserve">Give the Tenant at least 24 hours' written notice before entering the dwelling (except in emergencies).</w:t>
      </w:r>
    </w:p>
    <w:p>
      <w:pPr>
        <w:spacing w:after="60"/>
        <w:ind w:left="360"/>
      </w:pPr>
      <w:r>
        <w:rPr>
          <w:b/>
          <w:bCs/>
          <w:color w:val="1F2937"/>
          <w:sz w:val="21"/>
          <w:szCs w:val="21"/>
          <w:rFonts w:ascii="Calibri" w:cs="Calibri" w:eastAsia="Calibri" w:hAnsi="Calibri"/>
        </w:rPr>
        <w:t xml:space="preserve">8. </w:t>
      </w:r>
      <w:r>
        <w:rPr>
          <w:color w:val="1F2937"/>
          <w:sz w:val="21"/>
          <w:szCs w:val="21"/>
          <w:rFonts w:ascii="Calibri" w:cs="Calibri" w:eastAsia="Calibri" w:hAnsi="Calibri"/>
        </w:rPr>
        <w:t xml:space="preserve">Not penalise the Tenant for exercising their rights under the Residential Tenancies Acts.</w:t>
      </w:r>
    </w:p>
    <w:p>
      <w:pPr>
        <w:spacing w:after="60"/>
        <w:ind w:left="360"/>
      </w:pPr>
      <w:r>
        <w:rPr>
          <w:b/>
          <w:bCs/>
          <w:color w:val="1F2937"/>
          <w:sz w:val="21"/>
          <w:szCs w:val="21"/>
          <w:rFonts w:ascii="Calibri" w:cs="Calibri" w:eastAsia="Calibri" w:hAnsi="Calibri"/>
        </w:rPr>
        <w:t xml:space="preserve">9. </w:t>
      </w:r>
      <w:r>
        <w:rPr>
          <w:color w:val="1F2937"/>
          <w:sz w:val="21"/>
          <w:szCs w:val="21"/>
          <w:rFonts w:ascii="Calibri" w:cs="Calibri" w:eastAsia="Calibri" w:hAnsi="Calibri"/>
        </w:rPr>
        <w:t xml:space="preserve">Comply with all planning, building, and environmental regulations.</w:t>
      </w:r>
    </w:p>
    <w:p>
      <w:pPr>
        <w:spacing w:after="60"/>
        <w:ind w:left="360"/>
      </w:pPr>
      <w:r>
        <w:rPr>
          <w:b/>
          <w:bCs/>
          <w:color w:val="1F2937"/>
          <w:sz w:val="21"/>
          <w:szCs w:val="21"/>
          <w:rFonts w:ascii="Calibri" w:cs="Calibri" w:eastAsia="Calibri" w:hAnsi="Calibri"/>
        </w:rPr>
        <w:t xml:space="preserve">10. </w:t>
      </w:r>
      <w:r>
        <w:rPr>
          <w:color w:val="1F2937"/>
          <w:sz w:val="21"/>
          <w:szCs w:val="21"/>
          <w:rFonts w:ascii="Calibri" w:cs="Calibri" w:eastAsia="Calibri" w:hAnsi="Calibri"/>
        </w:rPr>
        <w:t xml:space="preserve">Provide the Tenant with contact details for the Landlord or their authorised agent.</w:t>
      </w:r>
    </w:p>
    <w:p>
      <w:pPr>
        <w:spacing w:after="60"/>
        <w:ind w:left="360"/>
      </w:pPr>
      <w:r>
        <w:rPr>
          <w:b/>
          <w:bCs/>
          <w:color w:val="1F2937"/>
          <w:sz w:val="21"/>
          <w:szCs w:val="21"/>
          <w:rFonts w:ascii="Calibri" w:cs="Calibri" w:eastAsia="Calibri" w:hAnsi="Calibri"/>
        </w:rPr>
        <w:t xml:space="preserve">11. </w:t>
      </w:r>
      <w:r>
        <w:rPr>
          <w:color w:val="1F2937"/>
          <w:sz w:val="21"/>
          <w:szCs w:val="21"/>
          <w:rFonts w:ascii="Calibri" w:cs="Calibri" w:eastAsia="Calibri" w:hAnsi="Calibri"/>
        </w:rPr>
        <w:t xml:space="preserve">Return the deposit (less lawful deductions) within a reasonable time after the tenancy ends.</w:t>
      </w:r>
    </w:p>
    <w:p>
      <w:pPr>
        <w:spacing w:after="60"/>
        <w:ind w:left="360"/>
      </w:pPr>
      <w:r>
        <w:rPr>
          <w:b/>
          <w:bCs/>
          <w:color w:val="1F2937"/>
          <w:sz w:val="21"/>
          <w:szCs w:val="21"/>
          <w:rFonts w:ascii="Calibri" w:cs="Calibri" w:eastAsia="Calibri" w:hAnsi="Calibri"/>
        </w:rPr>
        <w:t xml:space="preserve">12. </w:t>
      </w:r>
      <w:r>
        <w:rPr>
          <w:color w:val="1F2937"/>
          <w:sz w:val="21"/>
          <w:szCs w:val="21"/>
          <w:rFonts w:ascii="Calibri" w:cs="Calibri" w:eastAsia="Calibri" w:hAnsi="Calibri"/>
        </w:rPr>
        <w:t xml:space="preserve">Provide a valid BER certificate for the dwelling.</w:t>
      </w:r>
    </w:p>
    <w:p>
      <w:pPr>
        <w:pStyle w:val="Heading2"/>
        <w:pBdr>
          <w:bottom w:val="single" w:color="E97316" w:sz="1"/>
        </w:pBdr>
        <w:spacing w:before="300" w:after="120"/>
      </w:pPr>
      <w:r>
        <w:t xml:space="preserve">9. Part 4 Tenancy Rights — Security of Tenure</w:t>
      </w:r>
    </w:p>
    <w:p>
      <w:pPr>
        <w:spacing w:after="120"/>
      </w:pPr>
      <w:r>
        <w:rPr>
          <w:color w:val="1F2937"/>
          <w:sz w:val="21"/>
          <w:szCs w:val="21"/>
          <w:rFonts w:ascii="Calibri" w:cs="Calibri" w:eastAsia="Calibri" w:hAnsi="Calibri"/>
        </w:rPr>
        <w:t xml:space="preserve">Under Part 4 of the Residential Tenancies Act 2004 (as amended by the Residential Tenancies (Amendment) Act 2021 and the Residential Tenancies (Amendment) Act 2024):</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After 6 months of continuous occupation, the Tenant acquires Part 4 rights, which provide security of tenure.</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For tenancies created on or after 11 June 2022, the Tenant acquires a "tenancy of unlimited duration" after 6 months, meaning the tenancy continues indefinitely unless terminated on valid grounds.</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The Landlord may only terminate a Part 4 tenancy on specific grounds set out in the Act (see Section 10 below).</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The Tenant may terminate the tenancy by giving the required notice (see notice period table in Section 10).</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Part 4 rights apply regardless of whether the tenancy is fixed-term or periodic.</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The Landlord cannot contract out of Part 4 rights. Any clause purporting to do so is void.</w:t>
      </w:r>
    </w:p>
    <w:p>
      <w:pPr>
        <w:pStyle w:val="Heading2"/>
        <w:pBdr>
          <w:bottom w:val="single" w:color="E97316" w:sz="1"/>
        </w:pBdr>
        <w:spacing w:before="300" w:after="120"/>
      </w:pPr>
      <w:r>
        <w:t xml:space="preserve">10. Termination</w:t>
      </w:r>
    </w:p>
    <w:p>
      <w:pPr>
        <w:spacing w:after="120"/>
      </w:pPr>
      <w:r>
        <w:rPr>
          <w:color w:val="1F2937"/>
          <w:sz w:val="21"/>
          <w:szCs w:val="21"/>
          <w:rFonts w:ascii="Calibri" w:cs="Calibri" w:eastAsia="Calibri" w:hAnsi="Calibri"/>
        </w:rPr>
        <w:t xml:space="preserve">Either party may terminate this tenancy by serving a valid notice of termination in accordance with the Residential Tenancies Acts. The notice must be in writing, signed, and specify the termination date.</w:t>
      </w:r>
    </w:p>
    <w:p>
      <w:pPr>
        <w:spacing w:after="120"/>
      </w:pPr>
      <w:r>
        <w:rPr>
          <w:color w:val="1F2937"/>
          <w:sz w:val="21"/>
          <w:szCs w:val="21"/>
          <w:rFonts w:ascii="Calibri" w:cs="Calibri" w:eastAsia="Calibri" w:hAnsi="Calibri"/>
        </w:rPr>
        <w:t xml:space="preserve">The following notice periods apply based on the duration of the tenancy:</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33%"/>
            <w:shd w:fill="E97316" w:val="clear"/>
          </w:tcPr>
          <w:p>
            <w:pPr>
              <w:jc w:val="center"/>
            </w:pPr>
            <w:r>
              <w:rPr>
                <w:b/>
                <w:bCs/>
                <w:color w:val="FFFFFF"/>
                <w:sz w:val="19"/>
                <w:szCs w:val="19"/>
                <w:rFonts w:ascii="Calibri" w:cs="Calibri" w:eastAsia="Calibri" w:hAnsi="Calibri"/>
              </w:rPr>
              <w:t xml:space="preserve">Duration of Tenancy</w:t>
            </w:r>
          </w:p>
        </w:tc>
        <w:tc>
          <w:tcPr>
            <w:tcW w:type="pct" w:w="33%"/>
            <w:shd w:fill="E97316" w:val="clear"/>
          </w:tcPr>
          <w:p>
            <w:pPr>
              <w:jc w:val="center"/>
            </w:pPr>
            <w:r>
              <w:rPr>
                <w:b/>
                <w:bCs/>
                <w:color w:val="FFFFFF"/>
                <w:sz w:val="19"/>
                <w:szCs w:val="19"/>
                <w:rFonts w:ascii="Calibri" w:cs="Calibri" w:eastAsia="Calibri" w:hAnsi="Calibri"/>
              </w:rPr>
              <w:t xml:space="preserve">Notice by Landlord</w:t>
            </w:r>
          </w:p>
        </w:tc>
        <w:tc>
          <w:tcPr>
            <w:tcW w:type="pct" w:w="33%"/>
            <w:shd w:fill="E97316" w:val="clear"/>
          </w:tcPr>
          <w:p>
            <w:pPr>
              <w:jc w:val="center"/>
            </w:pPr>
            <w:r>
              <w:rPr>
                <w:b/>
                <w:bCs/>
                <w:color w:val="FFFFFF"/>
                <w:sz w:val="19"/>
                <w:szCs w:val="19"/>
                <w:rFonts w:ascii="Calibri" w:cs="Calibri" w:eastAsia="Calibri" w:hAnsi="Calibri"/>
              </w:rPr>
              <w:t xml:space="preserve">Notice by Tenant</w:t>
            </w:r>
          </w:p>
        </w:tc>
      </w:tr>
      <w:tr>
        <w:tc>
          <w:tcPr>
            <w:tcW w:type="pct" w:w="33%"/>
            <w:shd w:fill="F9FAFB" w:val="clear"/>
          </w:tcPr>
          <w:p>
            <w:r>
              <w:rPr>
                <w:color w:val="1F2937"/>
                <w:sz w:val="19"/>
                <w:szCs w:val="19"/>
                <w:rFonts w:ascii="Calibri" w:cs="Calibri" w:eastAsia="Calibri" w:hAnsi="Calibri"/>
              </w:rPr>
              <w:t xml:space="preserve">Less than 6 months</w:t>
            </w:r>
          </w:p>
        </w:tc>
        <w:tc>
          <w:tcPr>
            <w:tcW w:type="pct" w:w="33%"/>
            <w:shd w:fill="F9FAFB" w:val="clear"/>
          </w:tcPr>
          <w:p>
            <w:r>
              <w:rPr>
                <w:color w:val="1F2937"/>
                <w:sz w:val="19"/>
                <w:szCs w:val="19"/>
                <w:rFonts w:ascii="Calibri" w:cs="Calibri" w:eastAsia="Calibri" w:hAnsi="Calibri"/>
              </w:rPr>
              <w:t xml:space="preserve">90 days</w:t>
            </w:r>
          </w:p>
        </w:tc>
        <w:tc>
          <w:tcPr>
            <w:tcW w:type="pct" w:w="33%"/>
            <w:shd w:fill="F9FAFB" w:val="clear"/>
          </w:tcPr>
          <w:p>
            <w:r>
              <w:rPr>
                <w:color w:val="1F2937"/>
                <w:sz w:val="19"/>
                <w:szCs w:val="19"/>
                <w:rFonts w:ascii="Calibri" w:cs="Calibri" w:eastAsia="Calibri" w:hAnsi="Calibri"/>
              </w:rPr>
              <w:t xml:space="preserve">28 days</w:t>
            </w:r>
          </w:p>
        </w:tc>
      </w:tr>
      <w:tr>
        <w:tc>
          <w:tcPr>
            <w:tcW w:type="pct" w:w="33%"/>
          </w:tcPr>
          <w:p>
            <w:r>
              <w:rPr>
                <w:color w:val="1F2937"/>
                <w:sz w:val="19"/>
                <w:szCs w:val="19"/>
                <w:rFonts w:ascii="Calibri" w:cs="Calibri" w:eastAsia="Calibri" w:hAnsi="Calibri"/>
              </w:rPr>
              <w:t xml:space="preserve">6 months to 1 year</w:t>
            </w:r>
          </w:p>
        </w:tc>
        <w:tc>
          <w:tcPr>
            <w:tcW w:type="pct" w:w="33%"/>
          </w:tcPr>
          <w:p>
            <w:r>
              <w:rPr>
                <w:color w:val="1F2937"/>
                <w:sz w:val="19"/>
                <w:szCs w:val="19"/>
                <w:rFonts w:ascii="Calibri" w:cs="Calibri" w:eastAsia="Calibri" w:hAnsi="Calibri"/>
              </w:rPr>
              <w:t xml:space="preserve">152 days</w:t>
            </w:r>
          </w:p>
        </w:tc>
        <w:tc>
          <w:tcPr>
            <w:tcW w:type="pct" w:w="33%"/>
          </w:tcPr>
          <w:p>
            <w:r>
              <w:rPr>
                <w:color w:val="1F2937"/>
                <w:sz w:val="19"/>
                <w:szCs w:val="19"/>
                <w:rFonts w:ascii="Calibri" w:cs="Calibri" w:eastAsia="Calibri" w:hAnsi="Calibri"/>
              </w:rPr>
              <w:t xml:space="preserve">90 days</w:t>
            </w:r>
          </w:p>
        </w:tc>
      </w:tr>
      <w:tr>
        <w:tc>
          <w:tcPr>
            <w:tcW w:type="pct" w:w="33%"/>
            <w:shd w:fill="F9FAFB" w:val="clear"/>
          </w:tcPr>
          <w:p>
            <w:r>
              <w:rPr>
                <w:color w:val="1F2937"/>
                <w:sz w:val="19"/>
                <w:szCs w:val="19"/>
                <w:rFonts w:ascii="Calibri" w:cs="Calibri" w:eastAsia="Calibri" w:hAnsi="Calibri"/>
              </w:rPr>
              <w:t xml:space="preserve">1 year to 3 years</w:t>
            </w:r>
          </w:p>
        </w:tc>
        <w:tc>
          <w:tcPr>
            <w:tcW w:type="pct" w:w="33%"/>
            <w:shd w:fill="F9FAFB" w:val="clear"/>
          </w:tcPr>
          <w:p>
            <w:r>
              <w:rPr>
                <w:color w:val="1F2937"/>
                <w:sz w:val="19"/>
                <w:szCs w:val="19"/>
                <w:rFonts w:ascii="Calibri" w:cs="Calibri" w:eastAsia="Calibri" w:hAnsi="Calibri"/>
              </w:rPr>
              <w:t xml:space="preserve">180 days</w:t>
            </w:r>
          </w:p>
        </w:tc>
        <w:tc>
          <w:tcPr>
            <w:tcW w:type="pct" w:w="33%"/>
            <w:shd w:fill="F9FAFB" w:val="clear"/>
          </w:tcPr>
          <w:p>
            <w:r>
              <w:rPr>
                <w:color w:val="1F2937"/>
                <w:sz w:val="19"/>
                <w:szCs w:val="19"/>
                <w:rFonts w:ascii="Calibri" w:cs="Calibri" w:eastAsia="Calibri" w:hAnsi="Calibri"/>
              </w:rPr>
              <w:t xml:space="preserve">120 days</w:t>
            </w:r>
          </w:p>
        </w:tc>
      </w:tr>
      <w:tr>
        <w:tc>
          <w:tcPr>
            <w:tcW w:type="pct" w:w="33%"/>
          </w:tcPr>
          <w:p>
            <w:r>
              <w:rPr>
                <w:color w:val="1F2937"/>
                <w:sz w:val="19"/>
                <w:szCs w:val="19"/>
                <w:rFonts w:ascii="Calibri" w:cs="Calibri" w:eastAsia="Calibri" w:hAnsi="Calibri"/>
              </w:rPr>
              <w:t xml:space="preserve">3 years to 7 years</w:t>
            </w:r>
          </w:p>
        </w:tc>
        <w:tc>
          <w:tcPr>
            <w:tcW w:type="pct" w:w="33%"/>
          </w:tcPr>
          <w:p>
            <w:r>
              <w:rPr>
                <w:color w:val="1F2937"/>
                <w:sz w:val="19"/>
                <w:szCs w:val="19"/>
                <w:rFonts w:ascii="Calibri" w:cs="Calibri" w:eastAsia="Calibri" w:hAnsi="Calibri"/>
              </w:rPr>
              <w:t xml:space="preserve">196 days</w:t>
            </w:r>
          </w:p>
        </w:tc>
        <w:tc>
          <w:tcPr>
            <w:tcW w:type="pct" w:w="33%"/>
          </w:tcPr>
          <w:p>
            <w:r>
              <w:rPr>
                <w:color w:val="1F2937"/>
                <w:sz w:val="19"/>
                <w:szCs w:val="19"/>
                <w:rFonts w:ascii="Calibri" w:cs="Calibri" w:eastAsia="Calibri" w:hAnsi="Calibri"/>
              </w:rPr>
              <w:t xml:space="preserve">180 days</w:t>
            </w:r>
          </w:p>
        </w:tc>
      </w:tr>
      <w:tr>
        <w:tc>
          <w:tcPr>
            <w:tcW w:type="pct" w:w="33%"/>
            <w:shd w:fill="F9FAFB" w:val="clear"/>
          </w:tcPr>
          <w:p>
            <w:r>
              <w:rPr>
                <w:color w:val="1F2937"/>
                <w:sz w:val="19"/>
                <w:szCs w:val="19"/>
                <w:rFonts w:ascii="Calibri" w:cs="Calibri" w:eastAsia="Calibri" w:hAnsi="Calibri"/>
              </w:rPr>
              <w:t xml:space="preserve">7 years or more</w:t>
            </w:r>
          </w:p>
        </w:tc>
        <w:tc>
          <w:tcPr>
            <w:tcW w:type="pct" w:w="33%"/>
            <w:shd w:fill="F9FAFB" w:val="clear"/>
          </w:tcPr>
          <w:p>
            <w:r>
              <w:rPr>
                <w:color w:val="1F2937"/>
                <w:sz w:val="19"/>
                <w:szCs w:val="19"/>
                <w:rFonts w:ascii="Calibri" w:cs="Calibri" w:eastAsia="Calibri" w:hAnsi="Calibri"/>
              </w:rPr>
              <w:t xml:space="preserve">224 days</w:t>
            </w:r>
          </w:p>
        </w:tc>
        <w:tc>
          <w:tcPr>
            <w:tcW w:type="pct" w:w="33%"/>
            <w:shd w:fill="F9FAFB" w:val="clear"/>
          </w:tcPr>
          <w:p>
            <w:r>
              <w:rPr>
                <w:color w:val="1F2937"/>
                <w:sz w:val="19"/>
                <w:szCs w:val="19"/>
                <w:rFonts w:ascii="Calibri" w:cs="Calibri" w:eastAsia="Calibri" w:hAnsi="Calibri"/>
              </w:rPr>
              <w:t xml:space="preserve">224 days</w:t>
            </w:r>
          </w:p>
        </w:tc>
      </w:tr>
    </w:tbl>
    <w:p>
      <w:pPr>
        <w:spacing w:after="120"/>
      </w:pP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For tenancies of unlimited duration, the Landlord must provide a valid ground for termination (e.g., sale of property, substantial refurbishment, landlord or family member use, breach by tenant). The RTB must be copied on any termination notice.</w:t>
      </w:r>
    </w:p>
    <w:p>
      <w:pPr>
        <w:pStyle w:val="Heading2"/>
        <w:pBdr>
          <w:bottom w:val="single" w:color="E97316" w:sz="1"/>
        </w:pBdr>
        <w:spacing w:before="300" w:after="120"/>
      </w:pPr>
      <w:r>
        <w:t xml:space="preserve">11. Inventory and Condition</w:t>
      </w:r>
    </w:p>
    <w:p>
      <w:pPr>
        <w:spacing w:after="120"/>
      </w:pPr>
      <w:r>
        <w:rPr>
          <w:color w:val="1F2937"/>
          <w:sz w:val="21"/>
          <w:szCs w:val="21"/>
          <w:rFonts w:ascii="Calibri" w:cs="Calibri" w:eastAsia="Calibri" w:hAnsi="Calibri"/>
        </w:rPr>
        <w:t xml:space="preserve">An inventory of the contents and condition of the dwelling is attached as Schedule 1 to this Agreement. Both parties should sign the inventory at the commencement of the tenancy.</w:t>
      </w:r>
    </w:p>
    <w:p>
      <w:pPr>
        <w:spacing w:after="120"/>
      </w:pPr>
      <w:r>
        <w:rPr>
          <w:color w:val="1F2937"/>
          <w:sz w:val="21"/>
          <w:szCs w:val="21"/>
          <w:rFonts w:ascii="Calibri" w:cs="Calibri" w:eastAsia="Calibri" w:hAnsi="Calibri"/>
        </w:rPr>
        <w:t xml:space="preserve">The Tenant accepts the dwelling and its contents in their current condition as described in Schedule 1, unless objections are notified to the Landlord in writing within 7 days of commencement.</w:t>
      </w:r>
    </w:p>
    <w:p>
      <w:pPr>
        <w:spacing w:after="80"/>
      </w:pPr>
      <w:r>
        <w:rPr>
          <w:b/>
          <w:bCs/>
          <w:color w:val="1F2937"/>
          <w:sz w:val="21"/>
          <w:szCs w:val="21"/>
          <w:rFonts w:ascii="Calibri" w:cs="Calibri" w:eastAsia="Calibri" w:hAnsi="Calibri"/>
        </w:rPr>
        <w:t xml:space="preserve">Inventory completed?: </w:t>
      </w:r>
      <w:r>
        <w:rPr>
          <w:u w:val="single" w:color="E5E7EB"/>
          <w:color w:val="9CA3AF"/>
          <w:sz w:val="21"/>
          <w:szCs w:val="21"/>
          <w:rFonts w:ascii="Calibri" w:cs="Calibri" w:eastAsia="Calibri" w:hAnsi="Calibri"/>
        </w:rPr>
        <w:t xml:space="preserve">[Yes / No]</w:t>
      </w:r>
    </w:p>
    <w:p>
      <w:pPr>
        <w:spacing w:after="80"/>
      </w:pPr>
      <w:r>
        <w:rPr>
          <w:b/>
          <w:bCs/>
          <w:color w:val="1F2937"/>
          <w:sz w:val="21"/>
          <w:szCs w:val="21"/>
          <w:rFonts w:ascii="Calibri" w:cs="Calibri" w:eastAsia="Calibri" w:hAnsi="Calibri"/>
        </w:rPr>
        <w:t xml:space="preserve">Inventory date: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Photographs taken?: </w:t>
      </w:r>
      <w:r>
        <w:rPr>
          <w:u w:val="single" w:color="E5E7EB"/>
          <w:color w:val="9CA3AF"/>
          <w:sz w:val="21"/>
          <w:szCs w:val="21"/>
          <w:rFonts w:ascii="Calibri" w:cs="Calibri" w:eastAsia="Calibri" w:hAnsi="Calibri"/>
        </w:rPr>
        <w:t xml:space="preserve">[Yes / No]</w:t>
      </w:r>
    </w:p>
    <w:p>
      <w:pPr>
        <w:pStyle w:val="Heading2"/>
        <w:pBdr>
          <w:bottom w:val="single" w:color="E97316" w:sz="1"/>
        </w:pBdr>
        <w:spacing w:before="300" w:after="120"/>
      </w:pPr>
      <w:r>
        <w:t xml:space="preserve">12. Dispute Resolution</w:t>
      </w:r>
    </w:p>
    <w:p>
      <w:pPr>
        <w:spacing w:after="120"/>
      </w:pPr>
      <w:r>
        <w:rPr>
          <w:color w:val="1F2937"/>
          <w:sz w:val="21"/>
          <w:szCs w:val="21"/>
          <w:rFonts w:ascii="Calibri" w:cs="Calibri" w:eastAsia="Calibri" w:hAnsi="Calibri"/>
        </w:rPr>
        <w:t xml:space="preserve">Any dispute arising under this Agreement or the Residential Tenancies Acts may be referred to the Residential Tenancies Board (RTB) for resolution through mediation or adjudication.</w:t>
      </w:r>
    </w:p>
    <w:p>
      <w:pPr>
        <w:spacing w:after="120"/>
      </w:pPr>
      <w:r>
        <w:rPr>
          <w:color w:val="1F2937"/>
          <w:sz w:val="21"/>
          <w:szCs w:val="21"/>
          <w:rFonts w:ascii="Calibri" w:cs="Calibri" w:eastAsia="Calibri" w:hAnsi="Calibri"/>
        </w:rPr>
        <w:t xml:space="preserve">Contact details: RTB, PO Box 47, Clonakilty, Co. Cork. Phone: 0818 303 037. Website: www.rtb.ie.</w:t>
      </w:r>
    </w:p>
    <w:p>
      <w:pPr>
        <w:spacing w:after="120"/>
      </w:pPr>
      <w:r>
        <w:rPr>
          <w:color w:val="1F2937"/>
          <w:sz w:val="21"/>
          <w:szCs w:val="21"/>
          <w:rFonts w:ascii="Calibri" w:cs="Calibri" w:eastAsia="Calibri" w:hAnsi="Calibri"/>
        </w:rPr>
        <w:t xml:space="preserve">Both parties agree to engage in good faith with the RTB dispute resolution process.</w:t>
      </w:r>
    </w:p>
    <w:p>
      <w:pPr>
        <w:pStyle w:val="Heading2"/>
        <w:pBdr>
          <w:bottom w:val="single" w:color="E97316" w:sz="1"/>
        </w:pBdr>
        <w:spacing w:before="300" w:after="120"/>
      </w:pPr>
      <w:r>
        <w:t xml:space="preserve">13. Governing Law</w:t>
      </w:r>
    </w:p>
    <w:p>
      <w:pPr>
        <w:spacing w:after="120"/>
      </w:pPr>
      <w:r>
        <w:rPr>
          <w:color w:val="1F2937"/>
          <w:sz w:val="21"/>
          <w:szCs w:val="21"/>
          <w:rFonts w:ascii="Calibri" w:cs="Calibri" w:eastAsia="Calibri" w:hAnsi="Calibri"/>
        </w:rPr>
        <w:t xml:space="preserve">This Agreement is governed by the laws of the Republic of Ireland, in particular the Residential Tenancies Acts 2004–2024, the Housing (Standards for Rented Houses) Regulations 2019, and all other applicable legislation.</w:t>
      </w:r>
    </w:p>
    <w:p>
      <w:r>
        <w:br w:type="page"/>
      </w:r>
    </w:p>
    <w:p>
      <w:pPr>
        <w:pStyle w:val="Heading2"/>
        <w:pBdr>
          <w:bottom w:val="single" w:color="E97316" w:sz="1"/>
        </w:pBdr>
        <w:spacing w:before="300" w:after="120"/>
      </w:pPr>
      <w:r>
        <w:t xml:space="preserve">SIGNATURES</w:t>
      </w:r>
    </w:p>
    <w:p>
      <w:pPr>
        <w:spacing w:after="120"/>
      </w:pPr>
      <w:r>
        <w:rPr>
          <w:color w:val="1F2937"/>
          <w:sz w:val="21"/>
          <w:szCs w:val="21"/>
          <w:rFonts w:ascii="Calibri" w:cs="Calibri" w:eastAsia="Calibri" w:hAnsi="Calibri"/>
        </w:rPr>
        <w:t xml:space="preserve">Both parties confirm they have read and understood this Agreement and agree to be bound by its terms.</w:t>
      </w:r>
    </w:p>
    <w:p>
      <w:pPr>
        <w:spacing w:after="80"/>
      </w:pPr>
      <w:r>
        <w:rPr>
          <w:b/>
          <w:bCs/>
          <w:color w:val="1F2937"/>
          <w:sz w:val="21"/>
          <w:szCs w:val="21"/>
          <w:rFonts w:ascii="Calibri" w:cs="Calibri" w:eastAsia="Calibri" w:hAnsi="Calibri"/>
        </w:rPr>
        <w:t xml:space="preserve">Landlord 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Date: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Tenant 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Date: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Witness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Witness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Witness Date: </w:t>
      </w:r>
      <w:r>
        <w:rPr>
          <w:u w:val="single" w:color="E5E7EB"/>
          <w:color w:val="9CA3AF"/>
          <w:sz w:val="21"/>
          <w:szCs w:val="21"/>
          <w:rFonts w:ascii="Calibri" w:cs="Calibri" w:eastAsia="Calibri" w:hAnsi="Calibri"/>
        </w:rPr>
        <w:t xml:space="preserve">[______ / ______ / __________]</w:t>
      </w:r>
    </w:p>
    <w:p>
      <w:r>
        <w:br w:type="page"/>
      </w:r>
    </w:p>
    <w:p>
      <w:pPr>
        <w:pStyle w:val="Heading2"/>
        <w:pBdr>
          <w:bottom w:val="single" w:color="E97316" w:sz="1"/>
        </w:pBdr>
        <w:spacing w:before="300" w:after="120"/>
      </w:pPr>
      <w:r>
        <w:t xml:space="preserve">SCHEDULE 1 — Inventory of Contents and Condition</w:t>
      </w:r>
    </w:p>
    <w:p>
      <w:pPr>
        <w:spacing w:after="120"/>
      </w:pPr>
      <w:r>
        <w:rPr>
          <w:color w:val="1F2937"/>
          <w:sz w:val="21"/>
          <w:szCs w:val="21"/>
          <w:rFonts w:ascii="Calibri" w:cs="Calibri" w:eastAsia="Calibri" w:hAnsi="Calibri"/>
        </w:rPr>
        <w:t xml:space="preserve">Complete the table below at the start of the tenancy. Both parties should sign.</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Room / Area</w:t>
            </w:r>
          </w:p>
        </w:tc>
        <w:tc>
          <w:tcPr>
            <w:tcW w:type="pct" w:w="25%"/>
            <w:shd w:fill="E97316" w:val="clear"/>
          </w:tcPr>
          <w:p>
            <w:pPr>
              <w:jc w:val="center"/>
            </w:pPr>
            <w:r>
              <w:rPr>
                <w:b/>
                <w:bCs/>
                <w:color w:val="FFFFFF"/>
                <w:sz w:val="19"/>
                <w:szCs w:val="19"/>
                <w:rFonts w:ascii="Calibri" w:cs="Calibri" w:eastAsia="Calibri" w:hAnsi="Calibri"/>
              </w:rPr>
              <w:t xml:space="preserve">Item / Feature</w:t>
            </w:r>
          </w:p>
        </w:tc>
        <w:tc>
          <w:tcPr>
            <w:tcW w:type="pct" w:w="25%"/>
            <w:shd w:fill="E97316" w:val="clear"/>
          </w:tcPr>
          <w:p>
            <w:pPr>
              <w:jc w:val="center"/>
            </w:pPr>
            <w:r>
              <w:rPr>
                <w:b/>
                <w:bCs/>
                <w:color w:val="FFFFFF"/>
                <w:sz w:val="19"/>
                <w:szCs w:val="19"/>
                <w:rFonts w:ascii="Calibri" w:cs="Calibri" w:eastAsia="Calibri" w:hAnsi="Calibri"/>
              </w:rPr>
              <w:t xml:space="preserve">Condition (1–5)</w:t>
            </w:r>
          </w:p>
        </w:tc>
        <w:tc>
          <w:tcPr>
            <w:tcW w:type="pct" w:w="25%"/>
            <w:shd w:fill="E97316" w:val="clear"/>
          </w:tcPr>
          <w:p>
            <w:pPr>
              <w:jc w:val="center"/>
            </w:pPr>
            <w:r>
              <w:rPr>
                <w:b/>
                <w:bCs/>
                <w:color w:val="FFFFFF"/>
                <w:sz w:val="19"/>
                <w:szCs w:val="19"/>
                <w:rFonts w:ascii="Calibri" w:cs="Calibri" w:eastAsia="Calibri" w:hAnsi="Calibri"/>
              </w:rPr>
              <w:t xml:space="preserve">Notes</w:t>
            </w:r>
          </w:p>
        </w:tc>
      </w:tr>
      <w:tr>
        <w:tc>
          <w:tcPr>
            <w:tcW w:type="pct" w:w="25%"/>
            <w:shd w:fill="F9FAFB" w:val="clear"/>
          </w:tcPr>
          <w:p>
            <w:r>
              <w:rPr>
                <w:color w:val="1F2937"/>
                <w:sz w:val="19"/>
                <w:szCs w:val="19"/>
                <w:rFonts w:ascii="Calibri" w:cs="Calibri" w:eastAsia="Calibri" w:hAnsi="Calibri"/>
              </w:rPr>
              <w:t xml:space="preserve">Living Room</w:t>
            </w:r>
          </w:p>
        </w:tc>
        <w:tc>
          <w:tcPr>
            <w:tcW w:type="pct" w:w="25%"/>
            <w:shd w:fill="F9FAFB" w:val="clear"/>
          </w:tcPr>
          <w:p>
            <w:r>
              <w:rPr>
                <w:color w:val="1F2937"/>
                <w:sz w:val="19"/>
                <w:szCs w:val="19"/>
                <w:rFonts w:ascii="Calibri" w:cs="Calibri" w:eastAsia="Calibri" w:hAnsi="Calibri"/>
              </w:rPr>
              <w:t xml:space="preserve">[______________]</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[______________]</w:t>
            </w:r>
          </w:p>
        </w:tc>
      </w:tr>
      <w:tr>
        <w:tc>
          <w:tcPr>
            <w:tcW w:type="pct" w:w="25%"/>
          </w:tcPr>
          <w:p>
            <w:r>
              <w:rPr>
                <w:color w:val="1F2937"/>
                <w:sz w:val="19"/>
                <w:szCs w:val="19"/>
                <w:rFonts w:ascii="Calibri" w:cs="Calibri" w:eastAsia="Calibri" w:hAnsi="Calibri"/>
              </w:rPr>
              <w:t xml:space="preserve">Kitchen</w:t>
            </w:r>
          </w:p>
        </w:tc>
        <w:tc>
          <w:tcPr>
            <w:tcW w:type="pct" w:w="25%"/>
          </w:tcPr>
          <w:p>
            <w:r>
              <w:rPr>
                <w:color w:val="1F2937"/>
                <w:sz w:val="19"/>
                <w:szCs w:val="19"/>
                <w:rFonts w:ascii="Calibri" w:cs="Calibri" w:eastAsia="Calibri" w:hAnsi="Calibri"/>
              </w:rPr>
              <w:t xml:space="preserve">[______________]</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[______________]</w:t>
            </w:r>
          </w:p>
        </w:tc>
      </w:tr>
      <w:tr>
        <w:tc>
          <w:tcPr>
            <w:tcW w:type="pct" w:w="25%"/>
            <w:shd w:fill="F9FAFB" w:val="clear"/>
          </w:tcPr>
          <w:p>
            <w:r>
              <w:rPr>
                <w:color w:val="1F2937"/>
                <w:sz w:val="19"/>
                <w:szCs w:val="19"/>
                <w:rFonts w:ascii="Calibri" w:cs="Calibri" w:eastAsia="Calibri" w:hAnsi="Calibri"/>
              </w:rPr>
              <w:t xml:space="preserve">Bedroom 1</w:t>
            </w:r>
          </w:p>
        </w:tc>
        <w:tc>
          <w:tcPr>
            <w:tcW w:type="pct" w:w="25%"/>
            <w:shd w:fill="F9FAFB" w:val="clear"/>
          </w:tcPr>
          <w:p>
            <w:r>
              <w:rPr>
                <w:color w:val="1F2937"/>
                <w:sz w:val="19"/>
                <w:szCs w:val="19"/>
                <w:rFonts w:ascii="Calibri" w:cs="Calibri" w:eastAsia="Calibri" w:hAnsi="Calibri"/>
              </w:rPr>
              <w:t xml:space="preserve">[______________]</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[______________]</w:t>
            </w:r>
          </w:p>
        </w:tc>
      </w:tr>
      <w:tr>
        <w:tc>
          <w:tcPr>
            <w:tcW w:type="pct" w:w="25%"/>
          </w:tcPr>
          <w:p>
            <w:r>
              <w:rPr>
                <w:color w:val="1F2937"/>
                <w:sz w:val="19"/>
                <w:szCs w:val="19"/>
                <w:rFonts w:ascii="Calibri" w:cs="Calibri" w:eastAsia="Calibri" w:hAnsi="Calibri"/>
              </w:rPr>
              <w:t xml:space="preserve">Bedroom 2</w:t>
            </w:r>
          </w:p>
        </w:tc>
        <w:tc>
          <w:tcPr>
            <w:tcW w:type="pct" w:w="25%"/>
          </w:tcPr>
          <w:p>
            <w:r>
              <w:rPr>
                <w:color w:val="1F2937"/>
                <w:sz w:val="19"/>
                <w:szCs w:val="19"/>
                <w:rFonts w:ascii="Calibri" w:cs="Calibri" w:eastAsia="Calibri" w:hAnsi="Calibri"/>
              </w:rPr>
              <w:t xml:space="preserve">[______________]</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[______________]</w:t>
            </w:r>
          </w:p>
        </w:tc>
      </w:tr>
      <w:tr>
        <w:tc>
          <w:tcPr>
            <w:tcW w:type="pct" w:w="25%"/>
            <w:shd w:fill="F9FAFB" w:val="clear"/>
          </w:tcPr>
          <w:p>
            <w:r>
              <w:rPr>
                <w:color w:val="1F2937"/>
                <w:sz w:val="19"/>
                <w:szCs w:val="19"/>
                <w:rFonts w:ascii="Calibri" w:cs="Calibri" w:eastAsia="Calibri" w:hAnsi="Calibri"/>
              </w:rPr>
              <w:t xml:space="preserve">Bathroom</w:t>
            </w:r>
          </w:p>
        </w:tc>
        <w:tc>
          <w:tcPr>
            <w:tcW w:type="pct" w:w="25%"/>
            <w:shd w:fill="F9FAFB" w:val="clear"/>
          </w:tcPr>
          <w:p>
            <w:r>
              <w:rPr>
                <w:color w:val="1F2937"/>
                <w:sz w:val="19"/>
                <w:szCs w:val="19"/>
                <w:rFonts w:ascii="Calibri" w:cs="Calibri" w:eastAsia="Calibri" w:hAnsi="Calibri"/>
              </w:rPr>
              <w:t xml:space="preserve">[______________]</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[______________]</w:t>
            </w:r>
          </w:p>
        </w:tc>
      </w:tr>
      <w:tr>
        <w:tc>
          <w:tcPr>
            <w:tcW w:type="pct" w:w="25%"/>
          </w:tcPr>
          <w:p>
            <w:r>
              <w:rPr>
                <w:color w:val="1F2937"/>
                <w:sz w:val="19"/>
                <w:szCs w:val="19"/>
                <w:rFonts w:ascii="Calibri" w:cs="Calibri" w:eastAsia="Calibri" w:hAnsi="Calibri"/>
              </w:rPr>
              <w:t xml:space="preserve">Hallway</w:t>
            </w:r>
          </w:p>
        </w:tc>
        <w:tc>
          <w:tcPr>
            <w:tcW w:type="pct" w:w="25%"/>
          </w:tcPr>
          <w:p>
            <w:r>
              <w:rPr>
                <w:color w:val="1F2937"/>
                <w:sz w:val="19"/>
                <w:szCs w:val="19"/>
                <w:rFonts w:ascii="Calibri" w:cs="Calibri" w:eastAsia="Calibri" w:hAnsi="Calibri"/>
              </w:rPr>
              <w:t xml:space="preserve">[______________]</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[______________]</w:t>
            </w:r>
          </w:p>
        </w:tc>
      </w:tr>
      <w:tr>
        <w:tc>
          <w:tcPr>
            <w:tcW w:type="pct" w:w="25%"/>
            <w:shd w:fill="F9FAFB" w:val="clear"/>
          </w:tcPr>
          <w:p>
            <w:r>
              <w:rPr>
                <w:color w:val="1F2937"/>
                <w:sz w:val="19"/>
                <w:szCs w:val="19"/>
                <w:rFonts w:ascii="Calibri" w:cs="Calibri" w:eastAsia="Calibri" w:hAnsi="Calibri"/>
              </w:rPr>
              <w:t xml:space="preserve">Exterior</w:t>
            </w:r>
          </w:p>
        </w:tc>
        <w:tc>
          <w:tcPr>
            <w:tcW w:type="pct" w:w="25%"/>
            <w:shd w:fill="F9FAFB" w:val="clear"/>
          </w:tcPr>
          <w:p>
            <w:r>
              <w:rPr>
                <w:color w:val="1F2937"/>
                <w:sz w:val="19"/>
                <w:szCs w:val="19"/>
                <w:rFonts w:ascii="Calibri" w:cs="Calibri" w:eastAsia="Calibri" w:hAnsi="Calibri"/>
              </w:rPr>
              <w:t xml:space="preserve">[______________]</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[______________]</w:t>
            </w:r>
          </w:p>
        </w:tc>
      </w:tr>
      <w:tr>
        <w:tc>
          <w:tcPr>
            <w:tcW w:type="pct" w:w="25%"/>
          </w:tcPr>
          <w:p>
            <w:r>
              <w:rPr>
                <w:color w:val="1F2937"/>
                <w:sz w:val="19"/>
                <w:szCs w:val="19"/>
                <w:rFonts w:ascii="Calibri" w:cs="Calibri" w:eastAsia="Calibri" w:hAnsi="Calibri"/>
              </w:rPr>
              <w:t xml:space="preserve">[Other]</w:t>
            </w:r>
          </w:p>
        </w:tc>
        <w:tc>
          <w:tcPr>
            <w:tcW w:type="pct" w:w="25%"/>
          </w:tcPr>
          <w:p>
            <w:r>
              <w:rPr>
                <w:color w:val="1F2937"/>
                <w:sz w:val="19"/>
                <w:szCs w:val="19"/>
                <w:rFonts w:ascii="Calibri" w:cs="Calibri" w:eastAsia="Calibri" w:hAnsi="Calibri"/>
              </w:rPr>
              <w:t xml:space="preserve">[______________]</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[______________]</w:t>
            </w:r>
          </w:p>
        </w:tc>
      </w:tr>
    </w:tbl>
    <w:p>
      <w:pPr>
        <w:spacing w:after="120"/>
      </w:pP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Condition scale: 1 = New/Excellent, 2 = Good, 3 = Fair, 4 = Poor, 5 = Damaged. Attach photographs.</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This template is provided for informational purposes only. Irish tenancy law is governed by the Residential Tenancies Acts 2004–2024 and administered by the RTB. Always consult a solicitor before executing a tenancy agreement.</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2026-06-12T10:14:20.756Z</dcterms:created>
  <dcterms:modified xsi:type="dcterms:W3CDTF">2026-06-12T10:14:20.756Z</dcterms:modified>
</cp:coreProperties>
</file>

<file path=docProps/custom.xml><?xml version="1.0" encoding="utf-8"?>
<Properties xmlns="http://schemas.openxmlformats.org/officeDocument/2006/custom-properties" xmlns:vt="http://schemas.openxmlformats.org/officeDocument/2006/docPropsVTypes"/>
</file>