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SECTION 21 NOTICE — FORM 6A</w:t>
      </w:r>
    </w:p>
    <w:p>
      <w:pPr>
        <w:spacing w:after="200"/>
        <w:jc w:val="center"/>
      </w:pPr>
      <w:r>
        <w:rPr>
          <w:color w:val="6B7280"/>
          <w:sz w:val="22"/>
          <w:szCs w:val="22"/>
          <w:rFonts w:ascii="Calibri" w:cs="Calibri" w:eastAsia="Calibri" w:hAnsi="Calibri"/>
        </w:rPr>
        <w:t xml:space="preserve">Housing Act 1988, Section 21(1) and (4) — England</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PRE-SERVICE COMPLIANCE CHECKLIST</w:t>
      </w:r>
    </w:p>
    <w:p>
      <w:pPr>
        <w:spacing w:after="120"/>
      </w:pPr>
      <w:r>
        <w:rPr>
          <w:color w:val="1F2937"/>
          <w:sz w:val="21"/>
          <w:szCs w:val="21"/>
          <w:rFonts w:ascii="Calibri" w:cs="Calibri" w:eastAsia="Calibri" w:hAnsi="Calibri"/>
        </w:rPr>
        <w:t xml:space="preserve">This notice is INVALID unless ALL conditions are met: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Deposit protected in TDS / DPS / MyDeposits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Prescribed information served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Gas Safety Certificate (CP12) provided to tenant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EPC provided to tenant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EICR provided to tenant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"How to Rent" guide (latest version)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Section 48 address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Not within first 4 months of original tenancy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retaliatory eviction protection applies (no improvement notice in last 6 months)</w:t>
      </w:r>
    </w:p>
    <w:p>
      <w:pPr>
        <w:pStyle w:val="Heading2"/>
        <w:pBdr>
          <w:bottom w:val="single" w:color="E97316" w:sz="1"/>
        </w:pBdr>
        <w:spacing w:before="300" w:after="120"/>
      </w:pPr>
      <w:r>
        <w:t xml:space="preserve">NOTICE REQUIRING POSSESSION</w:t>
      </w:r>
    </w:p>
    <w:p>
      <w:pPr>
        <w:spacing w:after="120"/>
      </w:pPr>
      <w:r>
        <w:rPr>
          <w:color w:val="1F2937"/>
          <w:sz w:val="21"/>
          <w:szCs w:val="21"/>
          <w:rFonts w:ascii="Calibri" w:cs="Calibri" w:eastAsia="Calibri" w:hAnsi="Calibri"/>
        </w:rPr>
        <w:t xml:space="preserve">Housing Act 1988, Section 21(1)(b) / 21(4)(a). To:</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Postcode: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I/We require possession after (date): </w:t>
      </w:r>
      <w:r>
        <w:rPr>
          <w:u w:val="single" w:color="E5E7EB"/>
          <w:color w:val="9CA3AF"/>
          <w:sz w:val="21"/>
          <w:szCs w:val="21"/>
          <w:rFonts w:ascii="Calibri" w:cs="Calibri" w:eastAsia="Calibri" w:hAnsi="Calibri"/>
        </w:rPr>
        <w:t xml:space="preserve">[____/____/________]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Must give at least 2 months' notice. For periodic tenancies, date must be last day of a rental period. Valid for 6 months from specified date.</w:t>
      </w:r>
    </w:p>
    <w:p>
      <w:pPr>
        <w:pStyle w:val="Heading2"/>
        <w:pBdr>
          <w:bottom w:val="single" w:color="E97316" w:sz="1"/>
        </w:pBdr>
        <w:spacing w:before="300" w:after="120"/>
      </w:pPr>
      <w:r>
        <w:t xml:space="preserve">Notice Period Calculation</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Earliest valid date (2 months):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Notice expires (6 months after): </w:t>
      </w:r>
      <w:r>
        <w:rPr>
          <w:u w:val="single" w:color="E5E7EB"/>
          <w:color w:val="9CA3AF"/>
          <w:sz w:val="21"/>
          <w:szCs w:val="21"/>
          <w:rFonts w:ascii="Calibri" w:cs="Calibri" w:eastAsia="Calibri" w:hAnsi="Calibri"/>
        </w:rPr>
        <w:t xml:space="preserve">[____/____/________]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Tenancy Type</w:t>
            </w:r>
          </w:p>
        </w:tc>
        <w:tc>
          <w:tcPr>
            <w:tcW w:type="pct" w:w="33%"/>
            <w:shd w:fill="E97316" w:val="clear"/>
          </w:tcPr>
          <w:p>
            <w:pPr>
              <w:jc w:val="center"/>
            </w:pPr>
            <w:r>
              <w:rPr>
                <w:b/>
                <w:bCs/>
                <w:color w:val="FFFFFF"/>
                <w:sz w:val="19"/>
                <w:szCs w:val="19"/>
                <w:rFonts w:ascii="Calibri" w:cs="Calibri" w:eastAsia="Calibri" w:hAnsi="Calibri"/>
              </w:rPr>
              <w:t xml:space="preserve">Minimum Notice</w:t>
            </w:r>
          </w:p>
        </w:tc>
        <w:tc>
          <w:tcPr>
            <w:tcW w:type="pct" w:w="33%"/>
            <w:shd w:fill="E97316" w:val="clear"/>
          </w:tcPr>
          <w:p>
            <w:pPr>
              <w:jc w:val="center"/>
            </w:pPr>
            <w:r>
              <w:rPr>
                <w:b/>
                <w:bCs/>
                <w:color w:val="FFFFFF"/>
                <w:sz w:val="19"/>
                <w:szCs w:val="19"/>
                <w:rFonts w:ascii="Calibri" w:cs="Calibri" w:eastAsia="Calibri" w:hAnsi="Calibri"/>
              </w:rPr>
              <w:t xml:space="preserve">Earliest Effective Date</w:t>
            </w:r>
          </w:p>
        </w:tc>
      </w:tr>
      <w:tr>
        <w:tc>
          <w:tcPr>
            <w:tcW w:type="pct" w:w="33%"/>
            <w:shd w:fill="F9FAFB" w:val="clear"/>
          </w:tcPr>
          <w:p>
            <w:r>
              <w:rPr>
                <w:color w:val="1F2937"/>
                <w:sz w:val="19"/>
                <w:szCs w:val="19"/>
                <w:rFonts w:ascii="Calibri" w:cs="Calibri" w:eastAsia="Calibri" w:hAnsi="Calibri"/>
              </w:rPr>
              <w:t xml:space="preserve">Fixed term (on or before expiry)</w:t>
            </w:r>
          </w:p>
        </w:tc>
        <w:tc>
          <w:tcPr>
            <w:tcW w:type="pct" w:w="33%"/>
            <w:shd w:fill="F9FAFB" w:val="clear"/>
          </w:tcPr>
          <w:p>
            <w:r>
              <w:rPr>
                <w:color w:val="1F2937"/>
                <w:sz w:val="19"/>
                <w:szCs w:val="19"/>
                <w:rFonts w:ascii="Calibri" w:cs="Calibri" w:eastAsia="Calibri" w:hAnsi="Calibri"/>
              </w:rPr>
              <w:t xml:space="preserve">2 months</w:t>
            </w:r>
          </w:p>
        </w:tc>
        <w:tc>
          <w:tcPr>
            <w:tcW w:type="pct" w:w="33%"/>
            <w:shd w:fill="F9FAFB" w:val="clear"/>
          </w:tcPr>
          <w:p>
            <w:r>
              <w:rPr>
                <w:color w:val="1F2937"/>
                <w:sz w:val="19"/>
                <w:szCs w:val="19"/>
                <w:rFonts w:ascii="Calibri" w:cs="Calibri" w:eastAsia="Calibri" w:hAnsi="Calibri"/>
              </w:rPr>
              <w:t xml:space="preserve">Day after fixed term ends</w:t>
            </w:r>
          </w:p>
        </w:tc>
      </w:tr>
      <w:tr>
        <w:tc>
          <w:tcPr>
            <w:tcW w:type="pct" w:w="33%"/>
          </w:tcPr>
          <w:p>
            <w:r>
              <w:rPr>
                <w:color w:val="1F2937"/>
                <w:sz w:val="19"/>
                <w:szCs w:val="19"/>
                <w:rFonts w:ascii="Calibri" w:cs="Calibri" w:eastAsia="Calibri" w:hAnsi="Calibri"/>
              </w:rPr>
              <w:t xml:space="preserve">Statutory periodic (monthly)</w:t>
            </w:r>
          </w:p>
        </w:tc>
        <w:tc>
          <w:tcPr>
            <w:tcW w:type="pct" w:w="33%"/>
          </w:tcPr>
          <w:p>
            <w:r>
              <w:rPr>
                <w:color w:val="1F2937"/>
                <w:sz w:val="19"/>
                <w:szCs w:val="19"/>
                <w:rFonts w:ascii="Calibri" w:cs="Calibri" w:eastAsia="Calibri" w:hAnsi="Calibri"/>
              </w:rPr>
              <w:t xml:space="preserve">2 months</w:t>
            </w:r>
          </w:p>
        </w:tc>
        <w:tc>
          <w:tcPr>
            <w:tcW w:type="pct" w:w="33%"/>
          </w:tcPr>
          <w:p>
            <w:r>
              <w:rPr>
                <w:color w:val="1F2937"/>
                <w:sz w:val="19"/>
                <w:szCs w:val="19"/>
                <w:rFonts w:ascii="Calibri" w:cs="Calibri" w:eastAsia="Calibri" w:hAnsi="Calibri"/>
              </w:rPr>
              <w:t xml:space="preserve">Last day of rental period</w:t>
            </w:r>
          </w:p>
        </w:tc>
      </w:tr>
      <w:tr>
        <w:tc>
          <w:tcPr>
            <w:tcW w:type="pct" w:w="33%"/>
            <w:shd w:fill="F9FAFB" w:val="clear"/>
          </w:tcPr>
          <w:p>
            <w:r>
              <w:rPr>
                <w:color w:val="1F2937"/>
                <w:sz w:val="19"/>
                <w:szCs w:val="19"/>
                <w:rFonts w:ascii="Calibri" w:cs="Calibri" w:eastAsia="Calibri" w:hAnsi="Calibri"/>
              </w:rPr>
              <w:t xml:space="preserve">Contractual periodic</w:t>
            </w:r>
          </w:p>
        </w:tc>
        <w:tc>
          <w:tcPr>
            <w:tcW w:type="pct" w:w="33%"/>
            <w:shd w:fill="F9FAFB" w:val="clear"/>
          </w:tcPr>
          <w:p>
            <w:r>
              <w:rPr>
                <w:color w:val="1F2937"/>
                <w:sz w:val="19"/>
                <w:szCs w:val="19"/>
                <w:rFonts w:ascii="Calibri" w:cs="Calibri" w:eastAsia="Calibri" w:hAnsi="Calibri"/>
              </w:rPr>
              <w:t xml:space="preserve">2 months</w:t>
            </w:r>
          </w:p>
        </w:tc>
        <w:tc>
          <w:tcPr>
            <w:tcW w:type="pct" w:w="33%"/>
            <w:shd w:fill="F9FAFB" w:val="clear"/>
          </w:tcPr>
          <w:p>
            <w:r>
              <w:rPr>
                <w:color w:val="1F2937"/>
                <w:sz w:val="19"/>
                <w:szCs w:val="19"/>
                <w:rFonts w:ascii="Calibri" w:cs="Calibri" w:eastAsia="Calibri" w:hAnsi="Calibri"/>
              </w:rPr>
              <w:t xml:space="preserve">Last day of rental period</w:t>
            </w:r>
          </w:p>
        </w:tc>
      </w:tr>
    </w:tbl>
    <w:p>
      <w:pPr>
        <w:spacing w:after="120"/>
      </w:pPr>
    </w:p>
    <w:p>
      <w:pPr>
        <w:pStyle w:val="Heading2"/>
        <w:pBdr>
          <w:bottom w:val="single" w:color="E97316" w:sz="1"/>
        </w:pBdr>
        <w:spacing w:before="300" w:after="120"/>
      </w:pPr>
      <w:r>
        <w:t xml:space="preserve">Landlord Details and Signature</w:t>
      </w:r>
    </w:p>
    <w:p>
      <w:pPr>
        <w:spacing w:after="80"/>
      </w:pPr>
      <w:r>
        <w:rPr>
          <w:b/>
          <w:bCs/>
          <w:color w:val="1F2937"/>
          <w:sz w:val="21"/>
          <w:szCs w:val="21"/>
          <w:rFonts w:ascii="Calibri" w:cs="Calibri" w:eastAsia="Calibri" w:hAnsi="Calibri"/>
        </w:rPr>
        <w:t xml:space="preserve">Landlord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Service Record</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[Hand / First class post / Recorded delivery]</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Tracking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Witness name: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by first class post, deemed served 2 working days after posting. Photograph the notice before serving. Keep all proof of service.</w:t>
      </w:r>
    </w:p>
    <w:p>
      <w:pPr>
        <w:pStyle w:val="Heading2"/>
        <w:pBdr>
          <w:bottom w:val="single" w:color="E97316" w:sz="1"/>
        </w:pBdr>
        <w:spacing w:before="300" w:after="120"/>
      </w:pPr>
      <w:r>
        <w:t xml:space="preserve">NEXT STEPS IF TENANT DOES NOT VACATE</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Apply to county court for possession (Form N5B — accelerated procedure, ~£355).</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Court grants order — tenant typically given 14 days.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still no vacation — apply for warrant of possession (bailiff enforcement).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Entire process: 4–6 months. NEVER change locks or remove tenant — this is a criminal offence.</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Section 21 has strict prerequisites. Invalid notices cannot be used for possession. The Renters' Reform Bill may abolish Section 21 — check current law.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2026-04-28T08:53:52.753Z</dcterms:created>
  <dcterms:modified xsi:type="dcterms:W3CDTF">2026-04-28T08:53:52.753Z</dcterms:modified>
</cp:coreProperties>
</file>

<file path=docProps/custom.xml><?xml version="1.0" encoding="utf-8"?>
<Properties xmlns="http://schemas.openxmlformats.org/officeDocument/2006/custom-properties" xmlns:vt="http://schemas.openxmlformats.org/officeDocument/2006/docPropsVTypes"/>
</file>