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NOTICE — SEEKING POSSESSION</w:t>
      </w:r>
    </w:p>
    <w:p>
      <w:pPr>
        <w:spacing w:after="200"/>
        <w:jc w:val="center"/>
      </w:pPr>
      <w:r>
        <w:rPr>
          <w:color w:val="6B7280"/>
          <w:sz w:val="22"/>
          <w:szCs w:val="22"/>
          <w:rFonts w:ascii="Calibri" w:cs="Calibri" w:eastAsia="Calibri" w:hAnsi="Calibri"/>
        </w:rPr>
        <w:t xml:space="preserve">Housing Act 1988, Section 8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Mandatory Grounds (court must grant if proved)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 — Landlord previously occupied as principal home and requires it back</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2 — Mortgagee requires possession for power of sale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3 — Out-of-season holiday let (max 8 months fixed)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4 — Student letting by educational institution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5 — Minister of religion's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6 — Demolition/reconstruction requiring vacant possession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 — Death of tenant (periodic,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7A — Serious anti-social behaviour / criminal conviction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8 — At least 2 months' rent arrears at notice AND hearing date</w:t>
      </w:r>
    </w:p>
    <w:p>
      <w:pPr>
        <w:pStyle w:val="Heading2"/>
        <w:pBdr>
          <w:bottom w:val="single" w:color="E97316" w:sz="1"/>
        </w:pBdr>
        <w:spacing w:before="300" w:after="120"/>
      </w:pPr>
      <w:r>
        <w:t xml:space="preserve">3. Discretionary Grounds (court may grant if reasonable)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9 — Suitable alternative accommodation available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10 — Some rent arrears at notice and hearing date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11 — Persistent delay in paying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12 — Breach of tenancy obligation (other than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13 — Waste, neglect, or damage to property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 — Nuisance/annoyance or illegal use of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14A — Domestic violence causing partner to leave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15 — Deterioration of furniture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16 — Former employee of landlord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17 — Tenancy obtained by false statement</w:t>
      </w:r>
    </w:p>
    <w:p>
      <w:pPr>
        <w:pStyle w:val="Heading2"/>
        <w:pBdr>
          <w:bottom w:val="single" w:color="E97316" w:sz="1"/>
        </w:pBdr>
        <w:spacing w:before="300" w:after="120"/>
      </w:pPr>
      <w:r>
        <w:t xml:space="preserve">4. Particulars of Grounds</w:t>
      </w:r>
    </w:p>
    <w:p>
      <w:pPr>
        <w:spacing w:after="80"/>
      </w:pPr>
      <w:r>
        <w:rPr>
          <w:b/>
          <w:bCs/>
          <w:color w:val="1F2937"/>
          <w:sz w:val="21"/>
          <w:szCs w:val="21"/>
          <w:rFonts w:ascii="Calibri" w:cs="Calibri" w:eastAsia="Calibri" w:hAnsi="Calibri"/>
        </w:rPr>
        <w:t xml:space="preserve">Ground(s) relied upon: </w:t>
      </w:r>
      <w:r>
        <w:rPr>
          <w:u w:val="single" w:color="E5E7EB"/>
          <w:color w:val="9CA3AF"/>
          <w:sz w:val="21"/>
          <w:szCs w:val="21"/>
          <w:rFonts w:ascii="Calibri" w:cs="Calibri" w:eastAsia="Calibri" w:hAnsi="Calibri"/>
        </w:rPr>
        <w:t xml:space="preserve">[e.g., 8, 10, 11]</w:t>
      </w:r>
    </w:p>
    <w:p>
      <w:pPr>
        <w:spacing w:after="80"/>
      </w:pPr>
      <w:r>
        <w:rPr>
          <w:b/>
          <w:bCs/>
          <w:color w:val="1F2937"/>
          <w:sz w:val="21"/>
          <w:szCs w:val="21"/>
          <w:rFonts w:ascii="Calibri" w:cs="Calibri" w:eastAsia="Calibri" w:hAnsi="Calibri"/>
        </w:rPr>
        <w:t xml:space="preserve">Full particulars: </w:t>
      </w:r>
      <w:r>
        <w:rPr>
          <w:u w:val="single" w:color="E5E7EB"/>
          <w:color w:val="9CA3AF"/>
          <w:sz w:val="21"/>
          <w:szCs w:val="21"/>
          <w:rFonts w:ascii="Calibri" w:cs="Calibri" w:eastAsia="Calibri" w:hAnsi="Calibri"/>
        </w:rPr>
        <w:t xml:space="preserve">[Provide detailed facts: arrears amount, dates of missed payments, specific breaches, evidence available]</w:t>
      </w:r>
    </w:p>
    <w:p>
      <w:pPr>
        <w:pStyle w:val="Heading2"/>
        <w:pBdr>
          <w:bottom w:val="single" w:color="E97316" w:sz="1"/>
        </w:pBdr>
        <w:spacing w:before="300" w:after="120"/>
      </w:pPr>
      <w:r>
        <w:t xml:space="preserve">5. Rent Arrears (Grounds 8, 10, 11)</w:t>
      </w:r>
    </w:p>
    <w:p>
      <w:pPr>
        <w:spacing w:after="80"/>
      </w:pPr>
      <w:r>
        <w:rPr>
          <w:b/>
          <w:bCs/>
          <w:color w:val="1F2937"/>
          <w:sz w:val="21"/>
          <w:szCs w:val="21"/>
          <w:rFonts w:ascii="Calibri" w:cs="Calibri" w:eastAsia="Calibri" w:hAnsi="Calibri"/>
        </w:rPr>
        <w:t xml:space="preserve">Total arrears at notice date: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Rent 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Arrears</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Ground 8: arrears must be 2+ months at BOTH notice date AND hearing. If tenant reduces below 2 months before hearing, Ground 8 fails (Ground 10 may succeed).</w:t>
      </w:r>
    </w:p>
    <w:p>
      <w:pPr>
        <w:pStyle w:val="Heading2"/>
        <w:pBdr>
          <w:bottom w:val="single" w:color="E97316" w:sz="1"/>
        </w:pBdr>
        <w:spacing w:before="300" w:after="120"/>
      </w:pPr>
      <w:r>
        <w:t xml:space="preserve">6. Notice Periods</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court proceedings: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Ground(s)</w:t>
            </w:r>
          </w:p>
        </w:tc>
        <w:tc>
          <w:tcPr>
            <w:tcW w:type="pct" w:w="50%"/>
            <w:shd w:fill="E97316" w:val="clear"/>
          </w:tcPr>
          <w:p>
            <w:pPr>
              <w:jc w:val="center"/>
            </w:pPr>
            <w:r>
              <w:rPr>
                <w:b/>
                <w:bCs/>
                <w:color w:val="FFFFFF"/>
                <w:sz w:val="19"/>
                <w:szCs w:val="19"/>
                <w:rFonts w:ascii="Calibri" w:cs="Calibri" w:eastAsia="Calibri" w:hAnsi="Calibri"/>
              </w:rPr>
              <w:t xml:space="preserve">Minimum Notice</w:t>
            </w:r>
          </w:p>
        </w:tc>
      </w:tr>
      <w:tr>
        <w:tc>
          <w:tcPr>
            <w:tcW w:type="pct" w:w="50%"/>
            <w:shd w:fill="F9FAFB" w:val="clear"/>
          </w:tcPr>
          <w:p>
            <w:r>
              <w:rPr>
                <w:color w:val="1F2937"/>
                <w:sz w:val="19"/>
                <w:szCs w:val="19"/>
                <w:rFonts w:ascii="Calibri" w:cs="Calibri" w:eastAsia="Calibri" w:hAnsi="Calibri"/>
              </w:rPr>
              <w:t xml:space="preserve">1, 2, 5, 6, 7, 9, 16</w:t>
            </w:r>
          </w:p>
        </w:tc>
        <w:tc>
          <w:tcPr>
            <w:tcW w:type="pct" w:w="50%"/>
            <w:shd w:fill="F9FAFB" w:val="clear"/>
          </w:tcPr>
          <w:p>
            <w:r>
              <w:rPr>
                <w:color w:val="1F2937"/>
                <w:sz w:val="19"/>
                <w:szCs w:val="19"/>
                <w:rFonts w:ascii="Calibri" w:cs="Calibri" w:eastAsia="Calibri" w:hAnsi="Calibri"/>
              </w:rPr>
              <w:t xml:space="preserve">2 months</w:t>
            </w:r>
          </w:p>
        </w:tc>
      </w:tr>
      <w:tr>
        <w:tc>
          <w:tcPr>
            <w:tcW w:type="pct" w:w="50%"/>
          </w:tcPr>
          <w:p>
            <w:r>
              <w:rPr>
                <w:color w:val="1F2937"/>
                <w:sz w:val="19"/>
                <w:szCs w:val="19"/>
                <w:rFonts w:ascii="Calibri" w:cs="Calibri" w:eastAsia="Calibri" w:hAnsi="Calibri"/>
              </w:rPr>
              <w:t xml:space="preserve">3, 4, 8, 10, 11, 12, 13, 15, 17</w:t>
            </w:r>
          </w:p>
        </w:tc>
        <w:tc>
          <w:tcPr>
            <w:tcW w:type="pct" w:w="50%"/>
          </w:tcPr>
          <w:p>
            <w:r>
              <w:rPr>
                <w:color w:val="1F2937"/>
                <w:sz w:val="19"/>
                <w:szCs w:val="19"/>
                <w:rFonts w:ascii="Calibri" w:cs="Calibri" w:eastAsia="Calibri" w:hAnsi="Calibri"/>
              </w:rPr>
              <w:t xml:space="preserve">2 weeks</w:t>
            </w:r>
          </w:p>
        </w:tc>
      </w:tr>
      <w:tr>
        <w:tc>
          <w:tcPr>
            <w:tcW w:type="pct" w:w="50%"/>
            <w:shd w:fill="F9FAFB" w:val="clear"/>
          </w:tcPr>
          <w:p>
            <w:r>
              <w:rPr>
                <w:color w:val="1F2937"/>
                <w:sz w:val="19"/>
                <w:szCs w:val="19"/>
                <w:rFonts w:ascii="Calibri" w:cs="Calibri" w:eastAsia="Calibri" w:hAnsi="Calibri"/>
              </w:rPr>
              <w:t xml:space="preserve">7A (serious ASB)</w:t>
            </w:r>
          </w:p>
        </w:tc>
        <w:tc>
          <w:tcPr>
            <w:tcW w:type="pct" w:w="50%"/>
            <w:shd w:fill="F9FAFB" w:val="clear"/>
          </w:tcPr>
          <w:p>
            <w:r>
              <w:rPr>
                <w:color w:val="1F2937"/>
                <w:sz w:val="19"/>
                <w:szCs w:val="19"/>
                <w:rFonts w:ascii="Calibri" w:cs="Calibri" w:eastAsia="Calibri" w:hAnsi="Calibri"/>
              </w:rPr>
              <w:t xml:space="preserve">Immediate</w:t>
            </w:r>
          </w:p>
        </w:tc>
      </w:tr>
      <w:tr>
        <w:tc>
          <w:tcPr>
            <w:tcW w:type="pct" w:w="50%"/>
          </w:tcPr>
          <w:p>
            <w:r>
              <w:rPr>
                <w:color w:val="1F2937"/>
                <w:sz w:val="19"/>
                <w:szCs w:val="19"/>
                <w:rFonts w:ascii="Calibri" w:cs="Calibri" w:eastAsia="Calibri" w:hAnsi="Calibri"/>
              </w:rPr>
              <w:t xml:space="preserve">14, 14A</w:t>
            </w:r>
          </w:p>
        </w:tc>
        <w:tc>
          <w:tcPr>
            <w:tcW w:type="pct" w:w="50%"/>
          </w:tcPr>
          <w:p>
            <w:r>
              <w:rPr>
                <w:color w:val="1F2937"/>
                <w:sz w:val="19"/>
                <w:szCs w:val="19"/>
                <w:rFonts w:ascii="Calibri" w:cs="Calibri" w:eastAsia="Calibri" w:hAnsi="Calibri"/>
              </w:rPr>
              <w:t xml:space="preserve">2 weeks</w:t>
            </w:r>
          </w:p>
        </w:tc>
      </w:tr>
    </w:tbl>
    <w:p>
      <w:pPr>
        <w:spacing w:after="120"/>
      </w:pPr>
    </w:p>
    <w:p>
      <w:pPr>
        <w:pStyle w:val="Heading2"/>
        <w:pBdr>
          <w:bottom w:val="single" w:color="E97316" w:sz="1"/>
        </w:pBdr>
        <w:spacing w:before="300" w:after="120"/>
      </w:pPr>
      <w:r>
        <w:t xml:space="preserve">Signature and Service</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Service method: </w:t>
      </w:r>
      <w:r>
        <w:rPr>
          <w:u w:val="single" w:color="E5E7EB"/>
          <w:color w:val="9CA3AF"/>
          <w:sz w:val="21"/>
          <w:szCs w:val="21"/>
          <w:rFonts w:ascii="Calibri" w:cs="Calibri" w:eastAsia="Calibri" w:hAnsi="Calibri"/>
        </w:rPr>
        <w:t xml:space="preserve">[Hand /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notices must specify correct grounds and notice periods. Incorrect notices will be rejected by the court. Consider legal advice before serving.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2026-06-12T10:21:38.755Z</dcterms:created>
  <dcterms:modified xsi:type="dcterms:W3CDTF">2026-06-12T10:21:38.755Z</dcterms:modified>
</cp:coreProperties>
</file>

<file path=docProps/custom.xml><?xml version="1.0" encoding="utf-8"?>
<Properties xmlns="http://schemas.openxmlformats.org/officeDocument/2006/custom-properties" xmlns:vt="http://schemas.openxmlformats.org/officeDocument/2006/docPropsVTypes"/>
</file>